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7480" w14:textId="330BD5C1" w:rsidR="00C05853" w:rsidRPr="006F5DF9" w:rsidRDefault="001D033C" w:rsidP="00C05853">
      <w:pPr>
        <w:spacing w:line="254" w:lineRule="auto"/>
        <w:rPr>
          <w:rFonts w:ascii="Times New Roman" w:eastAsia="Calibri" w:hAnsi="Times New Roman" w:cs="Times New Roman"/>
          <w:b/>
        </w:rPr>
      </w:pPr>
      <w:r>
        <w:rPr>
          <w:rFonts w:ascii="Times New Roman" w:eastAsia="Calibri" w:hAnsi="Times New Roman" w:cs="Times New Roman"/>
          <w:b/>
        </w:rPr>
        <w:t>SÆRAVTALE</w:t>
      </w:r>
      <w:r w:rsidR="00035B54">
        <w:rPr>
          <w:rFonts w:ascii="Times New Roman" w:eastAsia="Calibri" w:hAnsi="Times New Roman" w:cs="Times New Roman"/>
          <w:b/>
        </w:rPr>
        <w:t xml:space="preserve"> OM VIRKEMIDLER VED OMSTILLING, ENDRING OG NEDBEMANNING</w:t>
      </w:r>
    </w:p>
    <w:p w14:paraId="09CC7481" w14:textId="77777777" w:rsidR="00C05853" w:rsidRPr="006F5DF9" w:rsidRDefault="00C05853" w:rsidP="00C05853">
      <w:pPr>
        <w:spacing w:line="254" w:lineRule="auto"/>
        <w:rPr>
          <w:rFonts w:ascii="Times New Roman" w:eastAsia="Calibri" w:hAnsi="Times New Roman" w:cs="Times New Roman"/>
          <w:b/>
        </w:rPr>
      </w:pPr>
      <w:r w:rsidRPr="006F5DF9">
        <w:rPr>
          <w:rFonts w:ascii="Times New Roman" w:eastAsia="Calibri" w:hAnsi="Times New Roman" w:cs="Times New Roman"/>
          <w:b/>
        </w:rPr>
        <w:t>Innledning</w:t>
      </w:r>
    </w:p>
    <w:p w14:paraId="09CC7488" w14:textId="77777777" w:rsidR="00670117" w:rsidRPr="006F5DF9" w:rsidRDefault="00670117" w:rsidP="000478AE">
      <w:pPr>
        <w:rPr>
          <w:rFonts w:ascii="Times New Roman" w:hAnsi="Times New Roman" w:cs="Times New Roman"/>
        </w:rPr>
      </w:pPr>
      <w:r w:rsidRPr="006F5DF9">
        <w:rPr>
          <w:rFonts w:ascii="Times New Roman" w:hAnsi="Times New Roman" w:cs="Times New Roman"/>
        </w:rPr>
        <w:t>Denne særavtalen er inngått med hjemmel i Hovedavtalen del A.</w:t>
      </w:r>
    </w:p>
    <w:p w14:paraId="09CC7489" w14:textId="3F244B79" w:rsidR="00EB00E2" w:rsidRPr="006F5DF9" w:rsidRDefault="00EB00E2" w:rsidP="000478AE">
      <w:pPr>
        <w:rPr>
          <w:rFonts w:ascii="Times New Roman" w:hAnsi="Times New Roman" w:cs="Times New Roman"/>
        </w:rPr>
      </w:pPr>
      <w:r w:rsidRPr="006F5DF9">
        <w:rPr>
          <w:rFonts w:ascii="Times New Roman" w:hAnsi="Times New Roman" w:cs="Times New Roman"/>
        </w:rPr>
        <w:t>Avtalen gjøres</w:t>
      </w:r>
      <w:r w:rsidR="00976232" w:rsidRPr="006F5DF9">
        <w:rPr>
          <w:rFonts w:ascii="Times New Roman" w:hAnsi="Times New Roman" w:cs="Times New Roman"/>
        </w:rPr>
        <w:t xml:space="preserve"> gjeldende fra 01.07</w:t>
      </w:r>
      <w:r w:rsidR="00A70B04">
        <w:rPr>
          <w:rFonts w:ascii="Times New Roman" w:hAnsi="Times New Roman" w:cs="Times New Roman"/>
        </w:rPr>
        <w:t>.</w:t>
      </w:r>
      <w:r w:rsidR="00976232" w:rsidRPr="006F5DF9">
        <w:rPr>
          <w:rFonts w:ascii="Times New Roman" w:hAnsi="Times New Roman" w:cs="Times New Roman"/>
        </w:rPr>
        <w:t>20</w:t>
      </w:r>
      <w:r w:rsidR="00F71BB2">
        <w:rPr>
          <w:rFonts w:ascii="Times New Roman" w:hAnsi="Times New Roman" w:cs="Times New Roman"/>
        </w:rPr>
        <w:t>23</w:t>
      </w:r>
      <w:r w:rsidR="00976232" w:rsidRPr="006F5DF9">
        <w:rPr>
          <w:rFonts w:ascii="Times New Roman" w:hAnsi="Times New Roman" w:cs="Times New Roman"/>
        </w:rPr>
        <w:t xml:space="preserve"> til</w:t>
      </w:r>
      <w:r w:rsidR="0035041C">
        <w:rPr>
          <w:rFonts w:ascii="Times New Roman" w:hAnsi="Times New Roman" w:cs="Times New Roman"/>
        </w:rPr>
        <w:t xml:space="preserve"> 30.06.</w:t>
      </w:r>
      <w:r w:rsidR="007A4E91">
        <w:rPr>
          <w:rFonts w:ascii="Times New Roman" w:hAnsi="Times New Roman" w:cs="Times New Roman"/>
        </w:rPr>
        <w:t>2024</w:t>
      </w:r>
    </w:p>
    <w:p w14:paraId="09CC748A" w14:textId="77777777" w:rsidR="00EB00E2" w:rsidRPr="006F5DF9" w:rsidRDefault="00EB00E2" w:rsidP="000478AE">
      <w:pPr>
        <w:rPr>
          <w:rFonts w:ascii="Times New Roman" w:hAnsi="Times New Roman" w:cs="Times New Roman"/>
        </w:rPr>
      </w:pPr>
      <w:r w:rsidRPr="006F5DF9">
        <w:rPr>
          <w:rFonts w:ascii="Times New Roman" w:hAnsi="Times New Roman" w:cs="Times New Roman"/>
        </w:rPr>
        <w:t xml:space="preserve">Hvis særavtalen ikke er skriftlig sagt opp av noen av partene innen én måned før utløpstid, anses avtalen fornyet for 1 – ett – år om gangen med samme gjensidige oppsigelsesfrist. </w:t>
      </w:r>
    </w:p>
    <w:p w14:paraId="09CC748B" w14:textId="77777777" w:rsidR="000549F6" w:rsidRPr="006F5DF9" w:rsidRDefault="000549F6" w:rsidP="000478AE">
      <w:pPr>
        <w:rPr>
          <w:rFonts w:ascii="Times New Roman" w:hAnsi="Times New Roman" w:cs="Times New Roman"/>
          <w:lang w:eastAsia="nb-NO"/>
        </w:rPr>
      </w:pPr>
      <w:r w:rsidRPr="006F5DF9">
        <w:rPr>
          <w:rFonts w:ascii="Times New Roman" w:hAnsi="Times New Roman" w:cs="Times New Roman"/>
          <w:lang w:eastAsia="nb-NO"/>
        </w:rPr>
        <w:t>Tvist om denne avtalen løses etter Hovedavtalens bestemmelser.</w:t>
      </w:r>
    </w:p>
    <w:p w14:paraId="09CC748C" w14:textId="77777777" w:rsidR="00670117" w:rsidRPr="006F5DF9" w:rsidRDefault="00670117" w:rsidP="00C05853">
      <w:pPr>
        <w:spacing w:line="254" w:lineRule="auto"/>
        <w:rPr>
          <w:rFonts w:ascii="Times New Roman" w:eastAsia="Calibri" w:hAnsi="Times New Roman" w:cs="Times New Roman"/>
        </w:rPr>
      </w:pPr>
    </w:p>
    <w:p w14:paraId="09CC748D" w14:textId="3913DDB9" w:rsidR="00C05853" w:rsidRPr="006F5DF9" w:rsidRDefault="00C05853" w:rsidP="00C05853">
      <w:pPr>
        <w:spacing w:line="254" w:lineRule="auto"/>
        <w:rPr>
          <w:rFonts w:ascii="Times New Roman" w:eastAsia="Calibri" w:hAnsi="Times New Roman" w:cs="Times New Roman"/>
          <w:b/>
          <w:u w:val="single"/>
        </w:rPr>
      </w:pPr>
      <w:r w:rsidRPr="006F5DF9">
        <w:rPr>
          <w:rFonts w:ascii="Times New Roman" w:eastAsia="Calibri" w:hAnsi="Times New Roman" w:cs="Times New Roman"/>
          <w:b/>
        </w:rPr>
        <w:t>§ 1 Formål</w:t>
      </w:r>
      <w:r w:rsidR="00035B54">
        <w:rPr>
          <w:rFonts w:ascii="Times New Roman" w:eastAsia="Calibri" w:hAnsi="Times New Roman" w:cs="Times New Roman"/>
          <w:b/>
        </w:rPr>
        <w:t xml:space="preserve"> og virke</w:t>
      </w:r>
      <w:r w:rsidR="00CB2C92">
        <w:rPr>
          <w:rFonts w:ascii="Times New Roman" w:eastAsia="Calibri" w:hAnsi="Times New Roman" w:cs="Times New Roman"/>
          <w:b/>
        </w:rPr>
        <w:t>område</w:t>
      </w:r>
    </w:p>
    <w:p w14:paraId="09CC748F" w14:textId="6434065D" w:rsidR="00872111" w:rsidRPr="006F5DF9" w:rsidRDefault="00C05853" w:rsidP="00C05853">
      <w:pPr>
        <w:spacing w:line="254" w:lineRule="auto"/>
        <w:rPr>
          <w:rFonts w:ascii="Times New Roman" w:eastAsia="Calibri" w:hAnsi="Times New Roman" w:cs="Times New Roman"/>
        </w:rPr>
      </w:pPr>
      <w:r w:rsidRPr="006F5DF9">
        <w:rPr>
          <w:rFonts w:ascii="Times New Roman" w:eastAsia="Calibri" w:hAnsi="Times New Roman" w:cs="Times New Roman"/>
        </w:rPr>
        <w:t xml:space="preserve">Formålet med denne </w:t>
      </w:r>
      <w:r w:rsidR="00146DCE">
        <w:rPr>
          <w:rFonts w:ascii="Times New Roman" w:eastAsia="Calibri" w:hAnsi="Times New Roman" w:cs="Times New Roman"/>
        </w:rPr>
        <w:t>sær</w:t>
      </w:r>
      <w:r w:rsidRPr="006F5DF9">
        <w:rPr>
          <w:rFonts w:ascii="Times New Roman" w:eastAsia="Calibri" w:hAnsi="Times New Roman" w:cs="Times New Roman"/>
        </w:rPr>
        <w:t>avtale</w:t>
      </w:r>
      <w:r w:rsidR="00146DCE">
        <w:rPr>
          <w:rFonts w:ascii="Times New Roman" w:eastAsia="Calibri" w:hAnsi="Times New Roman" w:cs="Times New Roman"/>
        </w:rPr>
        <w:t>n</w:t>
      </w:r>
      <w:r w:rsidRPr="006F5DF9">
        <w:rPr>
          <w:rFonts w:ascii="Times New Roman" w:eastAsia="Calibri" w:hAnsi="Times New Roman" w:cs="Times New Roman"/>
        </w:rPr>
        <w:t xml:space="preserve"> er å etablere, forenkle og sikre bruk av virkemidler ved omstilling, flytting</w:t>
      </w:r>
      <w:r w:rsidR="00035B54">
        <w:rPr>
          <w:rFonts w:ascii="Times New Roman" w:eastAsia="Calibri" w:hAnsi="Times New Roman" w:cs="Times New Roman"/>
        </w:rPr>
        <w:t xml:space="preserve"> og</w:t>
      </w:r>
      <w:r w:rsidRPr="006F5DF9">
        <w:rPr>
          <w:rFonts w:ascii="Times New Roman" w:eastAsia="Calibri" w:hAnsi="Times New Roman" w:cs="Times New Roman"/>
        </w:rPr>
        <w:t xml:space="preserve"> nedbemanning i Den norske kirke.</w:t>
      </w:r>
    </w:p>
    <w:p w14:paraId="09CC7492" w14:textId="31C48A94" w:rsidR="00EB00E2" w:rsidRPr="006F5DF9" w:rsidRDefault="003C4336" w:rsidP="00EB00E2">
      <w:pPr>
        <w:rPr>
          <w:rFonts w:ascii="Times New Roman" w:hAnsi="Times New Roman" w:cs="Times New Roman"/>
          <w:lang w:eastAsia="nb-NO"/>
        </w:rPr>
      </w:pPr>
      <w:r>
        <w:rPr>
          <w:rFonts w:ascii="Times New Roman" w:hAnsi="Times New Roman" w:cs="Times New Roman"/>
          <w:lang w:eastAsia="nb-NO"/>
        </w:rPr>
        <w:t>Avtalen</w:t>
      </w:r>
      <w:r w:rsidR="00EB00E2" w:rsidRPr="006F5DF9">
        <w:rPr>
          <w:rFonts w:ascii="Times New Roman" w:hAnsi="Times New Roman" w:cs="Times New Roman"/>
          <w:lang w:eastAsia="nb-NO"/>
        </w:rPr>
        <w:t xml:space="preserve"> skal sikre forutsigbare rammer for virkemidler ved endret tjenestested, omstilling, geografisk flytting av enheter og nedbemanning innenfor rettssubjektet Den norske kirke. Særavtalen er ment å skulle bidra til å lette endrings- og omstillingsarbeid når dette er nødvendig innenfor rettssubjektet Den norske kirke.</w:t>
      </w:r>
    </w:p>
    <w:p w14:paraId="09CC7493"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Det er et sentralt anliggende for partene at nødvendige omstillingsprosesser innenfor rettssubjektet Den norske kirke ikke skal føre til at eldre arbeidstakere støtes ut av arbeidsmarkedet. Det er ikke saklig å legge vekt på alder som kriterium ved overtallighet. </w:t>
      </w:r>
    </w:p>
    <w:p w14:paraId="09CC7494" w14:textId="77777777" w:rsidR="00232DA7" w:rsidRPr="006F5DF9" w:rsidRDefault="00232DA7" w:rsidP="00EB00E2">
      <w:pPr>
        <w:rPr>
          <w:rFonts w:ascii="Times New Roman" w:hAnsi="Times New Roman" w:cs="Times New Roman"/>
          <w:b/>
          <w:lang w:eastAsia="nb-NO"/>
        </w:rPr>
      </w:pPr>
    </w:p>
    <w:p w14:paraId="09CC7495" w14:textId="5C052B5D"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2</w:t>
      </w:r>
      <w:r w:rsidRPr="006F5DF9">
        <w:rPr>
          <w:rFonts w:ascii="Times New Roman" w:hAnsi="Times New Roman" w:cs="Times New Roman"/>
          <w:b/>
          <w:lang w:eastAsia="nb-NO"/>
        </w:rPr>
        <w:t xml:space="preserve"> Endret tjenestested for arbeidstaker permanent eller midlertidig.</w:t>
      </w:r>
    </w:p>
    <w:p w14:paraId="09CC7496"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Til arbeidstakere med avtalt tjenestested kan det ytes tidsbegrensede økonomiske tilskudd etter </w:t>
      </w:r>
      <w:r w:rsidR="005305D8">
        <w:rPr>
          <w:rFonts w:ascii="Times New Roman" w:hAnsi="Times New Roman" w:cs="Times New Roman"/>
          <w:lang w:eastAsia="nb-NO"/>
        </w:rPr>
        <w:t>§§ 4 til 6</w:t>
      </w:r>
      <w:r w:rsidRPr="006F5DF9">
        <w:rPr>
          <w:rFonts w:ascii="Times New Roman" w:hAnsi="Times New Roman" w:cs="Times New Roman"/>
          <w:lang w:eastAsia="nb-NO"/>
        </w:rPr>
        <w:t xml:space="preserve"> når tjenestested endres på grunn av:</w:t>
      </w:r>
    </w:p>
    <w:p w14:paraId="09CC7497"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tjenesteoppdrag/tjenestereiser som medfører skifte av tjenestested. </w:t>
      </w:r>
    </w:p>
    <w:p w14:paraId="09CC7498"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b)</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omstillinger eller omorganiseringer vedtatt av rette kirkelig organer.</w:t>
      </w:r>
    </w:p>
    <w:p w14:paraId="144DF41F" w14:textId="7789E1DC" w:rsidR="007A4E91" w:rsidRDefault="00EB00E2" w:rsidP="00EB00E2">
      <w:pPr>
        <w:rPr>
          <w:rFonts w:ascii="Times New Roman" w:hAnsi="Times New Roman" w:cs="Times New Roman"/>
          <w:lang w:eastAsia="nb-NO"/>
        </w:rPr>
      </w:pPr>
      <w:r w:rsidRPr="006F5DF9">
        <w:rPr>
          <w:rFonts w:ascii="Times New Roman" w:hAnsi="Times New Roman" w:cs="Times New Roman"/>
          <w:lang w:eastAsia="nb-NO"/>
        </w:rPr>
        <w:t>c)</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pålagt etter- og videreutdanning.</w:t>
      </w:r>
    </w:p>
    <w:p w14:paraId="5840E2D0" w14:textId="77777777" w:rsidR="007A4E91" w:rsidRPr="006F5DF9" w:rsidRDefault="007A4E91" w:rsidP="00EB00E2">
      <w:pPr>
        <w:rPr>
          <w:rFonts w:ascii="Times New Roman" w:hAnsi="Times New Roman" w:cs="Times New Roman"/>
          <w:lang w:eastAsia="nb-NO"/>
        </w:rPr>
      </w:pPr>
    </w:p>
    <w:p w14:paraId="09CC749B" w14:textId="4D5D7DF1"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3</w:t>
      </w:r>
      <w:r w:rsidRPr="006F5DF9">
        <w:rPr>
          <w:rFonts w:ascii="Times New Roman" w:hAnsi="Times New Roman" w:cs="Times New Roman"/>
          <w:b/>
          <w:lang w:eastAsia="nb-NO"/>
        </w:rPr>
        <w:t xml:space="preserve"> Arbeidstakere som må føre 2 husholdninger som følge av pålegg eller avtale om nytt tjenestested.</w:t>
      </w:r>
    </w:p>
    <w:p w14:paraId="09CC749C"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Arbeidsgiver kan fastsette at arbeidstakere som pålegges tjeneste på et nytt tjenestested eller avtaler tjeneste på nytt tjenestested eller tjenestedistrikt, og som av den grunn må føre 2 husholdninger etter ankomsten til det nye tjenestestedet</w:t>
      </w:r>
      <w:r w:rsidR="001C2F42">
        <w:rPr>
          <w:rFonts w:ascii="Times New Roman" w:hAnsi="Times New Roman" w:cs="Times New Roman"/>
          <w:lang w:eastAsia="nb-NO"/>
        </w:rPr>
        <w:t>,</w:t>
      </w:r>
      <w:r w:rsidRPr="006F5DF9">
        <w:rPr>
          <w:rFonts w:ascii="Times New Roman" w:hAnsi="Times New Roman" w:cs="Times New Roman"/>
          <w:lang w:eastAsia="nb-NO"/>
        </w:rPr>
        <w:t xml:space="preserve"> gis følgende godtgjørelse:</w:t>
      </w:r>
    </w:p>
    <w:p w14:paraId="09CC749D"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1.</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De første 28 dagene: Kostgodtgjørelse og nattillegg etter satsene i «Særavtale</w:t>
      </w:r>
      <w:r w:rsidR="004522F1" w:rsidRPr="006F5DF9">
        <w:rPr>
          <w:rFonts w:ascii="Times New Roman" w:hAnsi="Times New Roman" w:cs="Times New Roman"/>
          <w:lang w:eastAsia="nb-NO"/>
        </w:rPr>
        <w:t xml:space="preserve"> om reiseregulativet</w:t>
      </w:r>
      <w:r w:rsidRPr="006F5DF9">
        <w:rPr>
          <w:rFonts w:ascii="Times New Roman" w:hAnsi="Times New Roman" w:cs="Times New Roman"/>
          <w:lang w:eastAsia="nb-NO"/>
        </w:rPr>
        <w:t xml:space="preserve">». </w:t>
      </w:r>
    </w:p>
    <w:p w14:paraId="09CC749E"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2.</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Fra den 29. dagen og inntil 100 uker:</w:t>
      </w:r>
    </w:p>
    <w:p w14:paraId="09CC749F"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lastRenderedPageBreak/>
        <w:t>a)</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Kostgodtgjørelse: Sannsynliggjorte merutgifter med inntil kr 190,- pr dag.</w:t>
      </w:r>
    </w:p>
    <w:p w14:paraId="09CC74A0"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b)</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Legitimerte merutgifter til husleie med inntil kr 10 000,- pr. måned.</w:t>
      </w:r>
    </w:p>
    <w:p w14:paraId="09CC74A1"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Medfører oppholdet særlige store utgifter kan arbeidsgiver dekke legitimerte utgifter til kost og losji. </w:t>
      </w:r>
    </w:p>
    <w:p w14:paraId="09CC74A2"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3.</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Dersom arbeidsgiver sørger for kost og losji, eller kun losji, plikter arbeidstakeren å benytte dette. Ved kun losji utbetales kostgodtgjørelse for sannsynliggjorte merutgifter med inntil kr 190,- pr. dag. </w:t>
      </w:r>
    </w:p>
    <w:p w14:paraId="09CC74A3" w14:textId="77777777" w:rsidR="00232DA7"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4.</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Arbeidsgiver dekker minimum 1 hjemreise hvert kvartal</w:t>
      </w:r>
      <w:r w:rsidR="00AC537B">
        <w:rPr>
          <w:rFonts w:ascii="Times New Roman" w:hAnsi="Times New Roman" w:cs="Times New Roman"/>
          <w:lang w:eastAsia="nb-NO"/>
        </w:rPr>
        <w:t>.</w:t>
      </w:r>
      <w:r w:rsidR="00C24DDC"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Hvis arbeidstakeren ikke vil benytte reisen selv, kan ektefelle/samboer/barn benytte reisen for å besøke arbeidstakere på tjenestestedet. </w:t>
      </w:r>
    </w:p>
    <w:p w14:paraId="09CC74A4" w14:textId="16B55EF8"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4</w:t>
      </w:r>
      <w:r w:rsidRPr="006F5DF9">
        <w:rPr>
          <w:rFonts w:ascii="Times New Roman" w:hAnsi="Times New Roman" w:cs="Times New Roman"/>
          <w:b/>
          <w:lang w:eastAsia="nb-NO"/>
        </w:rPr>
        <w:t xml:space="preserve"> Arbeidstakere som pålegges eller avtaler nytt tjenestested uten å skifte bopel</w:t>
      </w:r>
    </w:p>
    <w:p w14:paraId="09CC74A5"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Arbeidsgiver kan fastsette at arbeidstakere som pålegges eller avtaler tjeneste på et nytt tjenestested/-distrikt og som blir boende på hjemstedet, i en overgangsperiode på inntil 2 år kan få dekket:</w:t>
      </w:r>
    </w:p>
    <w:p w14:paraId="09CC74A6"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Sannsynliggjorte reiseutgifter mellom hjemsted og tjenestested på over kr 690,- og inntil kr 2900,- pr. måned. </w:t>
      </w:r>
    </w:p>
    <w:p w14:paraId="09CC74A7"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b)</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Sannsynliggjorte merutgifter til kost på inntil kr 190,- pr arbeidsdag når reise- og arbeidstid til sammen er minst 12 timer. </w:t>
      </w:r>
    </w:p>
    <w:p w14:paraId="09CC74A8" w14:textId="77777777" w:rsidR="00232DA7" w:rsidRPr="006F5DF9" w:rsidRDefault="00232DA7" w:rsidP="00EB00E2">
      <w:pPr>
        <w:rPr>
          <w:rFonts w:ascii="Times New Roman" w:hAnsi="Times New Roman" w:cs="Times New Roman"/>
          <w:b/>
          <w:lang w:eastAsia="nb-NO"/>
        </w:rPr>
      </w:pPr>
    </w:p>
    <w:p w14:paraId="09CC74A9" w14:textId="47091075"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5</w:t>
      </w:r>
      <w:r w:rsidRPr="006F5DF9">
        <w:rPr>
          <w:rFonts w:ascii="Times New Roman" w:hAnsi="Times New Roman" w:cs="Times New Roman"/>
          <w:b/>
          <w:lang w:eastAsia="nb-NO"/>
        </w:rPr>
        <w:t xml:space="preserve"> Arbeidstakere som skifter tjenestested etter søknad</w:t>
      </w:r>
    </w:p>
    <w:p w14:paraId="09CC74AA"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Arbeidsgiver kan fastsette at arbeidstaker som etter søknad flytter til nytt tjenestested, kan tilstås godtgjørelse etter denne særavtalen dersom vilkårene for øvrig er til stede, og det ellers er særlig grunner til å likestille forholdet med pålagt tjenesteoppdrag. </w:t>
      </w:r>
    </w:p>
    <w:p w14:paraId="09CC74AB" w14:textId="79D164E5"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Dersom vilkårene ikke er til stede, kan arbeidstakeren etter flytting fra sitt tidligere tjenestested, få utbetalt et kompensasjonstillegg på kr 95,- pr. dag i inntil 2 år for føring av 2 husholdninger. Dersom en arbeidstaker ikke umiddelbart kan bringe hele familien med til et nytt tjenestested </w:t>
      </w:r>
      <w:r w:rsidR="00C27EC3" w:rsidRPr="006F5DF9">
        <w:rPr>
          <w:rFonts w:ascii="Times New Roman" w:hAnsi="Times New Roman" w:cs="Times New Roman"/>
          <w:lang w:eastAsia="nb-NO"/>
        </w:rPr>
        <w:t>f.eks.</w:t>
      </w:r>
      <w:r w:rsidRPr="006F5DF9">
        <w:rPr>
          <w:rFonts w:ascii="Times New Roman" w:hAnsi="Times New Roman" w:cs="Times New Roman"/>
          <w:lang w:eastAsia="nb-NO"/>
        </w:rPr>
        <w:t xml:space="preserve"> på grunn av barns skolegang eller ektefelle/samboers arbeidsforhold mv utbetales et kompensasjonstillegg fram til det tidspunkt hvor familien har flyttet, dog ikke utover 2 år. </w:t>
      </w:r>
    </w:p>
    <w:p w14:paraId="09CC74AC"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Arbeidstaker som på grunn av særlige forhold må bli boende på sitt hjemsted, kan i inntil 2 år få dekket reiseutgifter mellom hjemsted og tjenestested. </w:t>
      </w:r>
    </w:p>
    <w:p w14:paraId="09CC74AD" w14:textId="77777777" w:rsidR="00F05BB8" w:rsidRPr="006F5DF9" w:rsidRDefault="00F05BB8" w:rsidP="00EB00E2">
      <w:pPr>
        <w:rPr>
          <w:rFonts w:ascii="Times New Roman" w:hAnsi="Times New Roman" w:cs="Times New Roman"/>
          <w:b/>
          <w:lang w:eastAsia="nb-NO"/>
        </w:rPr>
      </w:pPr>
    </w:p>
    <w:p w14:paraId="09CC74AE" w14:textId="41C93378" w:rsid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6</w:t>
      </w:r>
      <w:r w:rsidRPr="006F5DF9">
        <w:rPr>
          <w:rFonts w:ascii="Times New Roman" w:hAnsi="Times New Roman" w:cs="Times New Roman"/>
          <w:b/>
          <w:lang w:eastAsia="nb-NO"/>
        </w:rPr>
        <w:t xml:space="preserve"> Fravær fra nytt tjenestested</w:t>
      </w:r>
    </w:p>
    <w:p w14:paraId="09CC74AF"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Arbeidstaker opprettholder godtgjørelse som dekker løpende utgifter til husleie ved midlertidig fravær som ferie, sykdom, hjemreise mv. Kostgodtgjørelse og kompensasjonstillegg bortfaller dersom det utbetales godtgjørelse for dette etter andre avtaler. </w:t>
      </w:r>
    </w:p>
    <w:p w14:paraId="09CC74B0" w14:textId="77777777" w:rsidR="00232DA7" w:rsidRPr="006F5DF9" w:rsidRDefault="00232DA7" w:rsidP="00EB00E2">
      <w:pPr>
        <w:rPr>
          <w:rFonts w:ascii="Times New Roman" w:hAnsi="Times New Roman" w:cs="Times New Roman"/>
          <w:lang w:eastAsia="nb-NO"/>
        </w:rPr>
      </w:pPr>
    </w:p>
    <w:p w14:paraId="09CC74B1" w14:textId="5EC849B3"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lastRenderedPageBreak/>
        <w:t>§</w:t>
      </w:r>
      <w:r w:rsidR="00873E01" w:rsidRPr="006F5DF9">
        <w:rPr>
          <w:rFonts w:ascii="Times New Roman" w:hAnsi="Times New Roman" w:cs="Times New Roman"/>
          <w:b/>
          <w:lang w:eastAsia="nb-NO"/>
        </w:rPr>
        <w:t xml:space="preserve"> </w:t>
      </w:r>
      <w:r w:rsidR="00471495">
        <w:rPr>
          <w:rFonts w:ascii="Times New Roman" w:hAnsi="Times New Roman" w:cs="Times New Roman"/>
          <w:b/>
          <w:lang w:eastAsia="nb-NO"/>
        </w:rPr>
        <w:t>7</w:t>
      </w:r>
      <w:r w:rsidRPr="006F5DF9">
        <w:rPr>
          <w:rFonts w:ascii="Times New Roman" w:hAnsi="Times New Roman" w:cs="Times New Roman"/>
          <w:b/>
          <w:lang w:eastAsia="nb-NO"/>
        </w:rPr>
        <w:t xml:space="preserve"> Regulering</w:t>
      </w:r>
    </w:p>
    <w:p w14:paraId="09CC74B2"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Satsene i §</w:t>
      </w:r>
      <w:r w:rsidR="005305D8">
        <w:rPr>
          <w:rFonts w:ascii="Times New Roman" w:hAnsi="Times New Roman" w:cs="Times New Roman"/>
          <w:lang w:eastAsia="nb-NO"/>
        </w:rPr>
        <w:t>§ 4 til 6</w:t>
      </w:r>
      <w:r w:rsidRPr="006F5DF9">
        <w:rPr>
          <w:rFonts w:ascii="Times New Roman" w:hAnsi="Times New Roman" w:cs="Times New Roman"/>
          <w:lang w:eastAsia="nb-NO"/>
        </w:rPr>
        <w:t xml:space="preserve"> skal reguleres etter endringer i statens «Særavtale om økonomisk</w:t>
      </w:r>
      <w:r w:rsidR="00984BA9" w:rsidRPr="006F5DF9">
        <w:rPr>
          <w:rFonts w:ascii="Times New Roman" w:hAnsi="Times New Roman" w:cs="Times New Roman"/>
          <w:lang w:eastAsia="nb-NO"/>
        </w:rPr>
        <w:t>e</w:t>
      </w:r>
      <w:r w:rsidRPr="006F5DF9">
        <w:rPr>
          <w:rFonts w:ascii="Times New Roman" w:hAnsi="Times New Roman" w:cs="Times New Roman"/>
          <w:lang w:eastAsia="nb-NO"/>
        </w:rPr>
        <w:t xml:space="preserve"> vilkår ved endret tjenestested», med samme virkningsdato som i staten. </w:t>
      </w:r>
    </w:p>
    <w:p w14:paraId="09CC74B3" w14:textId="77777777" w:rsidR="00EB00E2" w:rsidRPr="006F5DF9" w:rsidRDefault="00EB00E2" w:rsidP="00EB00E2">
      <w:pPr>
        <w:rPr>
          <w:rFonts w:ascii="Times New Roman" w:hAnsi="Times New Roman" w:cs="Times New Roman"/>
          <w:lang w:eastAsia="nb-NO"/>
        </w:rPr>
      </w:pPr>
    </w:p>
    <w:p w14:paraId="09CC74B4" w14:textId="44C04054"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 xml:space="preserve">§ </w:t>
      </w:r>
      <w:r w:rsidR="00471495">
        <w:rPr>
          <w:rFonts w:ascii="Times New Roman" w:hAnsi="Times New Roman" w:cs="Times New Roman"/>
          <w:b/>
          <w:lang w:eastAsia="nb-NO"/>
        </w:rPr>
        <w:t>8</w:t>
      </w:r>
      <w:r w:rsidRPr="006F5DF9">
        <w:rPr>
          <w:rFonts w:ascii="Times New Roman" w:hAnsi="Times New Roman" w:cs="Times New Roman"/>
          <w:b/>
          <w:lang w:eastAsia="nb-NO"/>
        </w:rPr>
        <w:t xml:space="preserve"> Geografisk flytting av enheter innen rettssubjektet Den norske kirke </w:t>
      </w:r>
    </w:p>
    <w:p w14:paraId="09CC74B5"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Arbeidsgiver kan etter drøftinger med arbeidstakerorganisasjonene bruke virkemidler </w:t>
      </w:r>
      <w:r w:rsidR="00AC537B">
        <w:rPr>
          <w:rFonts w:ascii="Times New Roman" w:hAnsi="Times New Roman" w:cs="Times New Roman"/>
          <w:lang w:eastAsia="nb-NO"/>
        </w:rPr>
        <w:t>etter</w:t>
      </w:r>
      <w:r w:rsidR="00AC537B">
        <w:rPr>
          <w:rFonts w:ascii="Times New Roman" w:hAnsi="Times New Roman" w:cs="Times New Roman"/>
          <w:lang w:eastAsia="nb-NO"/>
        </w:rPr>
        <w:br/>
      </w:r>
      <w:r w:rsidR="00C24DDC" w:rsidRPr="006F5DF9">
        <w:rPr>
          <w:rFonts w:ascii="Times New Roman" w:hAnsi="Times New Roman" w:cs="Times New Roman"/>
          <w:lang w:eastAsia="nb-NO"/>
        </w:rPr>
        <w:t>§</w:t>
      </w:r>
      <w:r w:rsidR="00AC537B">
        <w:rPr>
          <w:rFonts w:ascii="Times New Roman" w:hAnsi="Times New Roman" w:cs="Times New Roman"/>
          <w:lang w:eastAsia="nb-NO"/>
        </w:rPr>
        <w:t xml:space="preserve"> </w:t>
      </w:r>
      <w:r w:rsidR="00C24DDC" w:rsidRPr="006F5DF9">
        <w:rPr>
          <w:rFonts w:ascii="Times New Roman" w:hAnsi="Times New Roman" w:cs="Times New Roman"/>
          <w:lang w:eastAsia="nb-NO"/>
        </w:rPr>
        <w:t xml:space="preserve">10 </w:t>
      </w:r>
      <w:r w:rsidRPr="006F5DF9">
        <w:rPr>
          <w:rFonts w:ascii="Times New Roman" w:hAnsi="Times New Roman" w:cs="Times New Roman"/>
          <w:lang w:eastAsia="nb-NO"/>
        </w:rPr>
        <w:t xml:space="preserve">ved geografisk flytting av enheter innen rettssubjektet Den norske kirke. </w:t>
      </w:r>
    </w:p>
    <w:p w14:paraId="09CC74B6"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Virkemidlene etter denne paragrafen:</w:t>
      </w:r>
    </w:p>
    <w:p w14:paraId="09CC74B7"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er rammen for hva som kan tilbys den enkelte arbeidstaker. Det er arbeidsgiver som etter en individuell vurdering bestemmer om og eventuelt hvilke virkemidler som skal tilbys. </w:t>
      </w:r>
    </w:p>
    <w:p w14:paraId="09CC74B8"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b)</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kan gis i maksimalt to år.</w:t>
      </w:r>
    </w:p>
    <w:p w14:paraId="09CC74B9"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c)</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skal gis tilpasset til den enkelte omstillingsprosess.</w:t>
      </w:r>
    </w:p>
    <w:p w14:paraId="09CC74BA" w14:textId="77777777" w:rsidR="00232DA7" w:rsidRPr="006F5DF9" w:rsidRDefault="00232DA7" w:rsidP="00EB00E2">
      <w:pPr>
        <w:rPr>
          <w:rFonts w:ascii="Times New Roman" w:hAnsi="Times New Roman" w:cs="Times New Roman"/>
          <w:b/>
          <w:lang w:eastAsia="nb-NO"/>
        </w:rPr>
      </w:pPr>
    </w:p>
    <w:p w14:paraId="09CC74BB" w14:textId="306AF71D"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w:t>
      </w:r>
      <w:r w:rsidR="006C7A9A">
        <w:rPr>
          <w:rFonts w:ascii="Times New Roman" w:hAnsi="Times New Roman" w:cs="Times New Roman"/>
          <w:b/>
          <w:lang w:eastAsia="nb-NO"/>
        </w:rPr>
        <w:t xml:space="preserve">9 </w:t>
      </w:r>
      <w:r w:rsidR="006C7A9A" w:rsidRPr="006F5DF9">
        <w:rPr>
          <w:rFonts w:ascii="Times New Roman" w:hAnsi="Times New Roman" w:cs="Times New Roman"/>
          <w:b/>
          <w:lang w:eastAsia="nb-NO"/>
        </w:rPr>
        <w:t>Virkemidlene</w:t>
      </w:r>
    </w:p>
    <w:p w14:paraId="09CC74BC" w14:textId="4B99CC2E"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a)</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Tilsatte som blir med på flyttingen kan få dekket faktiske, legitimerte utgifter med inntil kr 150 000,- i forbindelse med kjøp/salg av bolig. Dette forutsetter 2 års bindingstid. Hvis vedkommende slutter før bindingstidens </w:t>
      </w:r>
      <w:r w:rsidR="00F966F2" w:rsidRPr="006F5DF9">
        <w:rPr>
          <w:rFonts w:ascii="Times New Roman" w:hAnsi="Times New Roman" w:cs="Times New Roman"/>
          <w:lang w:eastAsia="nb-NO"/>
        </w:rPr>
        <w:t>utløp,</w:t>
      </w:r>
      <w:r w:rsidRPr="006F5DF9">
        <w:rPr>
          <w:rFonts w:ascii="Times New Roman" w:hAnsi="Times New Roman" w:cs="Times New Roman"/>
          <w:lang w:eastAsia="nb-NO"/>
        </w:rPr>
        <w:t xml:space="preserve"> skal beløpet tilbakebetales forholdsmessig.  I tillegg kan den tilsatte og vedkommendes familie få dekket minimum en visningsreise etter «Særavtale </w:t>
      </w:r>
      <w:r w:rsidR="00984BA9" w:rsidRPr="006F5DF9">
        <w:rPr>
          <w:rFonts w:ascii="Times New Roman" w:hAnsi="Times New Roman" w:cs="Times New Roman"/>
          <w:lang w:eastAsia="nb-NO"/>
        </w:rPr>
        <w:t>om reiseregulativet</w:t>
      </w:r>
      <w:r w:rsidRPr="006F5DF9">
        <w:rPr>
          <w:rFonts w:ascii="Times New Roman" w:hAnsi="Times New Roman" w:cs="Times New Roman"/>
          <w:lang w:eastAsia="nb-NO"/>
        </w:rPr>
        <w:t>».</w:t>
      </w:r>
    </w:p>
    <w:p w14:paraId="09CC74BD"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b)</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Etter «Instruks for forvaltningen av boliglånsordningen i Statens </w:t>
      </w:r>
      <w:r w:rsidR="004522F1" w:rsidRPr="006F5DF9">
        <w:rPr>
          <w:rFonts w:ascii="Times New Roman" w:hAnsi="Times New Roman" w:cs="Times New Roman"/>
          <w:lang w:eastAsia="nb-NO"/>
        </w:rPr>
        <w:t>p</w:t>
      </w:r>
      <w:r w:rsidRPr="006F5DF9">
        <w:rPr>
          <w:rFonts w:ascii="Times New Roman" w:hAnsi="Times New Roman" w:cs="Times New Roman"/>
          <w:lang w:eastAsia="nb-NO"/>
        </w:rPr>
        <w:t>ensjonskasse» §</w:t>
      </w:r>
      <w:r w:rsidR="00AC537B">
        <w:rPr>
          <w:rFonts w:ascii="Times New Roman" w:hAnsi="Times New Roman" w:cs="Times New Roman"/>
          <w:lang w:eastAsia="nb-NO"/>
        </w:rPr>
        <w:t xml:space="preserve"> </w:t>
      </w:r>
      <w:r w:rsidRPr="006F5DF9">
        <w:rPr>
          <w:rFonts w:ascii="Times New Roman" w:hAnsi="Times New Roman" w:cs="Times New Roman"/>
          <w:lang w:eastAsia="nb-NO"/>
        </w:rPr>
        <w:t>3 andre ledd</w:t>
      </w:r>
      <w:r w:rsidR="004522F1" w:rsidRPr="006F5DF9">
        <w:rPr>
          <w:rFonts w:ascii="Times New Roman" w:hAnsi="Times New Roman" w:cs="Times New Roman"/>
          <w:lang w:eastAsia="nb-NO"/>
        </w:rPr>
        <w:t xml:space="preserve"> kan det</w:t>
      </w:r>
      <w:r w:rsidRPr="006F5DF9">
        <w:rPr>
          <w:rFonts w:ascii="Times New Roman" w:hAnsi="Times New Roman" w:cs="Times New Roman"/>
          <w:lang w:eastAsia="nb-NO"/>
        </w:rPr>
        <w:t xml:space="preserve"> ytes lån med inntil kr 750 000,-</w:t>
      </w:r>
      <w:r w:rsidR="004522F1" w:rsidRPr="006F5DF9">
        <w:rPr>
          <w:rFonts w:ascii="Times New Roman" w:hAnsi="Times New Roman" w:cs="Times New Roman"/>
          <w:lang w:eastAsia="nb-NO"/>
        </w:rPr>
        <w:t xml:space="preserve"> etter beslutning og regelverk i Statens pensjonskasse</w:t>
      </w:r>
      <w:r w:rsidRPr="006F5DF9">
        <w:rPr>
          <w:rFonts w:ascii="Times New Roman" w:hAnsi="Times New Roman" w:cs="Times New Roman"/>
          <w:lang w:eastAsia="nb-NO"/>
        </w:rPr>
        <w:t>. Slike lån kan gis i tillegg til låneordningen som følger av samme instruks §</w:t>
      </w:r>
      <w:r w:rsidR="00AC537B">
        <w:rPr>
          <w:rFonts w:ascii="Times New Roman" w:hAnsi="Times New Roman" w:cs="Times New Roman"/>
          <w:lang w:eastAsia="nb-NO"/>
        </w:rPr>
        <w:t xml:space="preserve"> </w:t>
      </w:r>
      <w:r w:rsidRPr="006F5DF9">
        <w:rPr>
          <w:rFonts w:ascii="Times New Roman" w:hAnsi="Times New Roman" w:cs="Times New Roman"/>
          <w:lang w:eastAsia="nb-NO"/>
        </w:rPr>
        <w:t xml:space="preserve">3 første ledd. </w:t>
      </w:r>
    </w:p>
    <w:p w14:paraId="09CC74BE" w14:textId="06FF55E9"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c)</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Tilsatte kan gis permisjon med lønn innenfor ordinære velferdspermisjoner, </w:t>
      </w:r>
      <w:r w:rsidR="006C7A9A" w:rsidRPr="006F5DF9">
        <w:rPr>
          <w:rFonts w:ascii="Times New Roman" w:hAnsi="Times New Roman" w:cs="Times New Roman"/>
          <w:lang w:eastAsia="nb-NO"/>
        </w:rPr>
        <w:t>jf.</w:t>
      </w:r>
      <w:r w:rsidRPr="006F5DF9">
        <w:rPr>
          <w:rFonts w:ascii="Times New Roman" w:hAnsi="Times New Roman" w:cs="Times New Roman"/>
          <w:lang w:eastAsia="nb-NO"/>
        </w:rPr>
        <w:t xml:space="preserve"> HTA 14.2. Er disse velferdsdagene brukt opp, kan det tilstås ekstra velferdspermisjon i forbindelse med flyttingen til nytt arbeidssted, herunder også visningsreiser til aktuell bolig på det nye arbeids-/bosted. </w:t>
      </w:r>
    </w:p>
    <w:p w14:paraId="09CC74BF"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d)</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Tilsatte som ikke ønsker å skifte bopel, men ønsker å fortsette i stillingen etter flytting</w:t>
      </w:r>
      <w:r w:rsidR="00984BA9" w:rsidRPr="006F5DF9">
        <w:rPr>
          <w:rFonts w:ascii="Times New Roman" w:hAnsi="Times New Roman" w:cs="Times New Roman"/>
          <w:lang w:eastAsia="nb-NO"/>
        </w:rPr>
        <w:t xml:space="preserve"> av </w:t>
      </w:r>
      <w:r w:rsidR="005569CD" w:rsidRPr="006F5DF9">
        <w:rPr>
          <w:rFonts w:ascii="Times New Roman" w:hAnsi="Times New Roman" w:cs="Times New Roman"/>
          <w:lang w:eastAsia="nb-NO"/>
        </w:rPr>
        <w:t>arbeidssted</w:t>
      </w:r>
      <w:r w:rsidRPr="006F5DF9">
        <w:rPr>
          <w:rFonts w:ascii="Times New Roman" w:hAnsi="Times New Roman" w:cs="Times New Roman"/>
          <w:lang w:eastAsia="nb-NO"/>
        </w:rPr>
        <w:t xml:space="preserve"> kan få dekket minimum 1 hjemreise i måneden. Denne bestemmelsen gjelder når det ikke er aktuelt å dagpendle. </w:t>
      </w:r>
    </w:p>
    <w:p w14:paraId="09CC74C0"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e)</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Ved dagpendling kan arbeidstakere som får en lengre daglig reisetid få regnet sin merreisetid fra bolig til arbeidssted som arbeidstid. Dette forutsetter at den daglige merreisetiden overstiger 1,5 time, og det er kun merreisetiden utover 1,5 time som regnes inn i arbeidstiden. </w:t>
      </w:r>
    </w:p>
    <w:p w14:paraId="09CC74C1"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f)</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Tilsatte som blir med på flyttingen kan få hel eller delvis dekning av utgifter til barnehage, SFO eller aktivitetsskole </w:t>
      </w:r>
    </w:p>
    <w:p w14:paraId="09CC74C2" w14:textId="77777777" w:rsidR="00EB00E2" w:rsidRPr="006F5DF9" w:rsidRDefault="00F05BB8" w:rsidP="00EB00E2">
      <w:pPr>
        <w:rPr>
          <w:rFonts w:ascii="Times New Roman" w:hAnsi="Times New Roman" w:cs="Times New Roman"/>
          <w:lang w:eastAsia="nb-NO"/>
        </w:rPr>
      </w:pPr>
      <w:r w:rsidRPr="006F5DF9">
        <w:rPr>
          <w:rFonts w:ascii="Times New Roman" w:hAnsi="Times New Roman" w:cs="Times New Roman"/>
          <w:lang w:eastAsia="nb-NO"/>
        </w:rPr>
        <w:lastRenderedPageBreak/>
        <w:t xml:space="preserve"> </w:t>
      </w:r>
      <w:r w:rsidR="00EB00E2" w:rsidRPr="006F5DF9">
        <w:rPr>
          <w:rFonts w:ascii="Times New Roman" w:hAnsi="Times New Roman" w:cs="Times New Roman"/>
          <w:lang w:eastAsia="nb-NO"/>
        </w:rPr>
        <w:t>For øvrig vises det til muligheten til forhandlinger etter HTA 4.2 Særskilte forhandlinger og 4.3 Beholde og rekruttere arbeidstakere.</w:t>
      </w:r>
    </w:p>
    <w:p w14:paraId="09CC74C3" w14:textId="77777777" w:rsidR="00232DA7" w:rsidRPr="006F5DF9" w:rsidRDefault="00232DA7" w:rsidP="00EB00E2">
      <w:pPr>
        <w:rPr>
          <w:rFonts w:ascii="Times New Roman" w:hAnsi="Times New Roman" w:cs="Times New Roman"/>
          <w:b/>
          <w:lang w:eastAsia="nb-NO"/>
        </w:rPr>
      </w:pPr>
    </w:p>
    <w:p w14:paraId="09CC74C4" w14:textId="63446F13"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1</w:t>
      </w:r>
      <w:r w:rsidR="00471495">
        <w:rPr>
          <w:rFonts w:ascii="Times New Roman" w:hAnsi="Times New Roman" w:cs="Times New Roman"/>
          <w:b/>
          <w:lang w:eastAsia="nb-NO"/>
        </w:rPr>
        <w:t>0</w:t>
      </w:r>
      <w:r w:rsidRPr="006F5DF9">
        <w:rPr>
          <w:rFonts w:ascii="Times New Roman" w:hAnsi="Times New Roman" w:cs="Times New Roman"/>
          <w:b/>
          <w:lang w:eastAsia="nb-NO"/>
        </w:rPr>
        <w:t xml:space="preserve"> Nedbemanning</w:t>
      </w:r>
    </w:p>
    <w:p w14:paraId="09CC74C5"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1.</w:t>
      </w:r>
      <w:r w:rsidR="00F05BB8" w:rsidRPr="006F5DF9">
        <w:rPr>
          <w:rFonts w:ascii="Times New Roman" w:hAnsi="Times New Roman" w:cs="Times New Roman"/>
          <w:lang w:eastAsia="nb-NO"/>
        </w:rPr>
        <w:t xml:space="preserve"> </w:t>
      </w:r>
      <w:r w:rsidRPr="006F5DF9">
        <w:rPr>
          <w:rFonts w:ascii="Times New Roman" w:hAnsi="Times New Roman" w:cs="Times New Roman"/>
          <w:lang w:eastAsia="nb-NO"/>
        </w:rPr>
        <w:t xml:space="preserve">Arbeidsgiver kan tilby sluttvederlag tilsvarende en månedslønn for hvert faktiske tjenesteår i rettssubjektet Den norske kirke, dog ikke lavere beløp enn det som tilsvarer lønn i 6 måneder. Samlet sluttvederlag kan ikke overstige 24 måneders lønn. For arbeidstakere som var ansatt før 1.1.17 skal også all tjeneste i staten før denne dato regnes med i grunnlaget for sluttvederlaget. Med lønn forstås lønn etter hovedtariffavtalens § 8.1.2. Det er stillingsbrøken i arbeidsavtalen som legges til grunn. Fungeringstillegg for høyere stilling skal ikke regnes med. Sluttvederlag kan utbetales som en engangssum, eller betales i månedlige rater dersom arbeidsgiver og arbeidstaker blir enig om det. Innvilgelse av sluttvederlag innebærer at den ansatte sier opp stillingen selv, og sier fra seg fortrinnsretten til stilling i rettssubjektet Den norske kirke. Ved innvilgelse av sluttvederlag skal det inngås en standardkontrakt utarbeidet av partene. </w:t>
      </w:r>
    </w:p>
    <w:p w14:paraId="09CC74C6" w14:textId="77777777" w:rsidR="00EB00E2" w:rsidRPr="006F5DF9" w:rsidRDefault="00EB00E2" w:rsidP="00EB00E2">
      <w:pPr>
        <w:rPr>
          <w:rFonts w:ascii="Times New Roman" w:hAnsi="Times New Roman" w:cs="Times New Roman"/>
          <w:lang w:eastAsia="nb-NO"/>
        </w:rPr>
      </w:pPr>
    </w:p>
    <w:p w14:paraId="09CC74C7" w14:textId="77777777" w:rsidR="00EB00E2" w:rsidRPr="006F5DF9" w:rsidRDefault="00F05BB8" w:rsidP="00EB00E2">
      <w:pPr>
        <w:rPr>
          <w:rFonts w:ascii="Times New Roman" w:hAnsi="Times New Roman" w:cs="Times New Roman"/>
          <w:lang w:eastAsia="nb-NO"/>
        </w:rPr>
      </w:pPr>
      <w:r w:rsidRPr="006F5DF9">
        <w:rPr>
          <w:rFonts w:ascii="Times New Roman" w:hAnsi="Times New Roman" w:cs="Times New Roman"/>
          <w:lang w:eastAsia="nb-NO"/>
        </w:rPr>
        <w:t xml:space="preserve">2. </w:t>
      </w:r>
      <w:r w:rsidR="00EB00E2" w:rsidRPr="006F5DF9">
        <w:rPr>
          <w:rFonts w:ascii="Times New Roman" w:hAnsi="Times New Roman" w:cs="Times New Roman"/>
          <w:lang w:eastAsia="nb-NO"/>
        </w:rPr>
        <w:t xml:space="preserve">I forbindelse med omstilling og nedbemanning skal de ansattes kompetanse kartlegges. Med bakgrunn i kompetansekartleggingen kan det gis full lønn i inntil 3 år til ny utdanning/kompetanseheving hvis arbeidsgiver anser det som nødvendig for at den tilsatte skal kunne fortsette i virksomheten. </w:t>
      </w:r>
    </w:p>
    <w:p w14:paraId="09CC74C8" w14:textId="77777777" w:rsidR="00EB00E2" w:rsidRPr="006F5DF9" w:rsidRDefault="00EB00E2" w:rsidP="00EB00E2">
      <w:pPr>
        <w:rPr>
          <w:rFonts w:ascii="Times New Roman" w:hAnsi="Times New Roman" w:cs="Times New Roman"/>
          <w:lang w:eastAsia="nb-NO"/>
        </w:rPr>
      </w:pPr>
    </w:p>
    <w:p w14:paraId="09CC74C9" w14:textId="53661C12" w:rsidR="00EB00E2" w:rsidRPr="006F5DF9" w:rsidRDefault="00EB00E2" w:rsidP="00EB00E2">
      <w:pPr>
        <w:rPr>
          <w:rFonts w:ascii="Times New Roman" w:hAnsi="Times New Roman" w:cs="Times New Roman"/>
          <w:b/>
          <w:lang w:eastAsia="nb-NO"/>
        </w:rPr>
      </w:pPr>
      <w:r w:rsidRPr="006F5DF9">
        <w:rPr>
          <w:rFonts w:ascii="Times New Roman" w:hAnsi="Times New Roman" w:cs="Times New Roman"/>
          <w:b/>
          <w:lang w:eastAsia="nb-NO"/>
        </w:rPr>
        <w:t>§</w:t>
      </w:r>
      <w:r w:rsidR="00873E01" w:rsidRPr="006F5DF9">
        <w:rPr>
          <w:rFonts w:ascii="Times New Roman" w:hAnsi="Times New Roman" w:cs="Times New Roman"/>
          <w:b/>
          <w:lang w:eastAsia="nb-NO"/>
        </w:rPr>
        <w:t xml:space="preserve"> 1</w:t>
      </w:r>
      <w:r w:rsidR="00471495">
        <w:rPr>
          <w:rFonts w:ascii="Times New Roman" w:hAnsi="Times New Roman" w:cs="Times New Roman"/>
          <w:b/>
          <w:lang w:eastAsia="nb-NO"/>
        </w:rPr>
        <w:t>1</w:t>
      </w:r>
      <w:r w:rsidRPr="006F5DF9">
        <w:rPr>
          <w:rFonts w:ascii="Times New Roman" w:hAnsi="Times New Roman" w:cs="Times New Roman"/>
          <w:b/>
          <w:lang w:eastAsia="nb-NO"/>
        </w:rPr>
        <w:t xml:space="preserve"> Økonomisk-administrative rutiner</w:t>
      </w:r>
    </w:p>
    <w:p w14:paraId="09CC74CA" w14:textId="77777777" w:rsidR="00EB00E2" w:rsidRPr="006F5DF9" w:rsidRDefault="00EB00E2" w:rsidP="00EB00E2">
      <w:pPr>
        <w:rPr>
          <w:rFonts w:ascii="Times New Roman" w:hAnsi="Times New Roman" w:cs="Times New Roman"/>
          <w:lang w:eastAsia="nb-NO"/>
        </w:rPr>
      </w:pPr>
      <w:r w:rsidRPr="006F5DF9">
        <w:rPr>
          <w:rFonts w:ascii="Times New Roman" w:hAnsi="Times New Roman" w:cs="Times New Roman"/>
          <w:lang w:eastAsia="nb-NO"/>
        </w:rPr>
        <w:t xml:space="preserve">Hvis godtgjøring etter denne avtalen knytter seg til faktisk utgiftsdekning, må arbeidstaker håndtere </w:t>
      </w:r>
      <w:r w:rsidR="00633B07">
        <w:rPr>
          <w:rFonts w:ascii="Times New Roman" w:hAnsi="Times New Roman" w:cs="Times New Roman"/>
          <w:lang w:eastAsia="nb-NO"/>
        </w:rPr>
        <w:t>disse etter gjeldende økonomisk</w:t>
      </w:r>
      <w:r w:rsidRPr="006F5DF9">
        <w:rPr>
          <w:rFonts w:ascii="Times New Roman" w:hAnsi="Times New Roman" w:cs="Times New Roman"/>
          <w:lang w:eastAsia="nb-NO"/>
        </w:rPr>
        <w:t xml:space="preserve">-administrative rutiner. </w:t>
      </w:r>
    </w:p>
    <w:p w14:paraId="09CC74CB" w14:textId="77777777" w:rsidR="007A4049" w:rsidRDefault="007A4049" w:rsidP="007A4049">
      <w:pPr>
        <w:rPr>
          <w:rFonts w:ascii="Times New Roman" w:hAnsi="Times New Roman" w:cs="Times New Roman"/>
          <w:lang w:eastAsia="nb-NO"/>
        </w:rPr>
      </w:pPr>
    </w:p>
    <w:p w14:paraId="09CC74CC" w14:textId="77777777" w:rsidR="006F5DF9" w:rsidRDefault="006F5DF9" w:rsidP="007A4049">
      <w:pPr>
        <w:rPr>
          <w:rFonts w:ascii="Times New Roman" w:hAnsi="Times New Roman" w:cs="Times New Roman"/>
          <w:lang w:eastAsia="nb-NO"/>
        </w:rPr>
      </w:pPr>
    </w:p>
    <w:p w14:paraId="09CC750A" w14:textId="663ACDF6" w:rsidR="008F0BB9" w:rsidRPr="006F5DF9" w:rsidRDefault="008F0BB9" w:rsidP="00EB00E2">
      <w:pPr>
        <w:spacing w:before="120"/>
        <w:ind w:firstLine="180"/>
        <w:rPr>
          <w:rFonts w:ascii="Times New Roman" w:hAnsi="Times New Roman" w:cs="Times New Roman"/>
          <w:szCs w:val="24"/>
        </w:rPr>
      </w:pPr>
    </w:p>
    <w:sectPr w:rsidR="008F0BB9" w:rsidRPr="006F5D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CC27" w14:textId="77777777" w:rsidR="00B5301B" w:rsidRDefault="00B5301B" w:rsidP="00F966F2">
      <w:pPr>
        <w:spacing w:after="0" w:line="240" w:lineRule="auto"/>
      </w:pPr>
      <w:r>
        <w:separator/>
      </w:r>
    </w:p>
  </w:endnote>
  <w:endnote w:type="continuationSeparator" w:id="0">
    <w:p w14:paraId="27E80E44" w14:textId="77777777" w:rsidR="00B5301B" w:rsidRDefault="00B5301B" w:rsidP="00F9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578863"/>
      <w:docPartObj>
        <w:docPartGallery w:val="Page Numbers (Bottom of Page)"/>
        <w:docPartUnique/>
      </w:docPartObj>
    </w:sdtPr>
    <w:sdtContent>
      <w:p w14:paraId="65A05E2F" w14:textId="207C80D3" w:rsidR="00F966F2" w:rsidRDefault="00F966F2">
        <w:pPr>
          <w:pStyle w:val="Bunntekst"/>
          <w:jc w:val="right"/>
        </w:pPr>
        <w:r>
          <w:fldChar w:fldCharType="begin"/>
        </w:r>
        <w:r>
          <w:instrText>PAGE   \* MERGEFORMAT</w:instrText>
        </w:r>
        <w:r>
          <w:fldChar w:fldCharType="separate"/>
        </w:r>
        <w:r>
          <w:t>2</w:t>
        </w:r>
        <w:r>
          <w:fldChar w:fldCharType="end"/>
        </w:r>
      </w:p>
    </w:sdtContent>
  </w:sdt>
  <w:p w14:paraId="0ED88197" w14:textId="77777777" w:rsidR="00F966F2" w:rsidRDefault="00F966F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1B02" w14:textId="77777777" w:rsidR="00B5301B" w:rsidRDefault="00B5301B" w:rsidP="00F966F2">
      <w:pPr>
        <w:spacing w:after="0" w:line="240" w:lineRule="auto"/>
      </w:pPr>
      <w:r>
        <w:separator/>
      </w:r>
    </w:p>
  </w:footnote>
  <w:footnote w:type="continuationSeparator" w:id="0">
    <w:p w14:paraId="4B2563DA" w14:textId="77777777" w:rsidR="00B5301B" w:rsidRDefault="00B5301B" w:rsidP="00F96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61A"/>
    <w:multiLevelType w:val="hybridMultilevel"/>
    <w:tmpl w:val="D9D2F228"/>
    <w:lvl w:ilvl="0" w:tplc="5A12E8E2">
      <w:start w:val="4"/>
      <w:numFmt w:val="bullet"/>
      <w:lvlText w:val="-"/>
      <w:lvlJc w:val="left"/>
      <w:pPr>
        <w:ind w:left="540" w:hanging="360"/>
      </w:pPr>
      <w:rPr>
        <w:rFonts w:ascii="Calibri" w:eastAsiaTheme="minorHAnsi" w:hAnsi="Calibri" w:cstheme="minorBidi" w:hint="default"/>
      </w:rPr>
    </w:lvl>
    <w:lvl w:ilvl="1" w:tplc="04140003" w:tentative="1">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1" w15:restartNumberingAfterBreak="0">
    <w:nsid w:val="054A14AA"/>
    <w:multiLevelType w:val="hybridMultilevel"/>
    <w:tmpl w:val="DF74247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8386EA5"/>
    <w:multiLevelType w:val="hybridMultilevel"/>
    <w:tmpl w:val="1F623DA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466C4F98"/>
    <w:multiLevelType w:val="hybridMultilevel"/>
    <w:tmpl w:val="8794C59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672958BC"/>
    <w:multiLevelType w:val="hybridMultilevel"/>
    <w:tmpl w:val="C908AA7C"/>
    <w:lvl w:ilvl="0" w:tplc="5A12E8E2">
      <w:start w:val="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620" w:hanging="360"/>
      </w:pPr>
      <w:rPr>
        <w:rFonts w:ascii="Courier New" w:hAnsi="Courier New" w:cs="Courier New" w:hint="default"/>
      </w:rPr>
    </w:lvl>
    <w:lvl w:ilvl="2" w:tplc="04140005" w:tentative="1">
      <w:start w:val="1"/>
      <w:numFmt w:val="bullet"/>
      <w:lvlText w:val=""/>
      <w:lvlJc w:val="left"/>
      <w:pPr>
        <w:ind w:left="2340" w:hanging="360"/>
      </w:pPr>
      <w:rPr>
        <w:rFonts w:ascii="Wingdings" w:hAnsi="Wingdings" w:hint="default"/>
      </w:rPr>
    </w:lvl>
    <w:lvl w:ilvl="3" w:tplc="04140001" w:tentative="1">
      <w:start w:val="1"/>
      <w:numFmt w:val="bullet"/>
      <w:lvlText w:val=""/>
      <w:lvlJc w:val="left"/>
      <w:pPr>
        <w:ind w:left="3060" w:hanging="360"/>
      </w:pPr>
      <w:rPr>
        <w:rFonts w:ascii="Symbol" w:hAnsi="Symbol" w:hint="default"/>
      </w:rPr>
    </w:lvl>
    <w:lvl w:ilvl="4" w:tplc="04140003" w:tentative="1">
      <w:start w:val="1"/>
      <w:numFmt w:val="bullet"/>
      <w:lvlText w:val="o"/>
      <w:lvlJc w:val="left"/>
      <w:pPr>
        <w:ind w:left="3780" w:hanging="360"/>
      </w:pPr>
      <w:rPr>
        <w:rFonts w:ascii="Courier New" w:hAnsi="Courier New" w:cs="Courier New" w:hint="default"/>
      </w:rPr>
    </w:lvl>
    <w:lvl w:ilvl="5" w:tplc="04140005" w:tentative="1">
      <w:start w:val="1"/>
      <w:numFmt w:val="bullet"/>
      <w:lvlText w:val=""/>
      <w:lvlJc w:val="left"/>
      <w:pPr>
        <w:ind w:left="4500" w:hanging="360"/>
      </w:pPr>
      <w:rPr>
        <w:rFonts w:ascii="Wingdings" w:hAnsi="Wingdings" w:hint="default"/>
      </w:rPr>
    </w:lvl>
    <w:lvl w:ilvl="6" w:tplc="04140001" w:tentative="1">
      <w:start w:val="1"/>
      <w:numFmt w:val="bullet"/>
      <w:lvlText w:val=""/>
      <w:lvlJc w:val="left"/>
      <w:pPr>
        <w:ind w:left="5220" w:hanging="360"/>
      </w:pPr>
      <w:rPr>
        <w:rFonts w:ascii="Symbol" w:hAnsi="Symbol" w:hint="default"/>
      </w:rPr>
    </w:lvl>
    <w:lvl w:ilvl="7" w:tplc="04140003" w:tentative="1">
      <w:start w:val="1"/>
      <w:numFmt w:val="bullet"/>
      <w:lvlText w:val="o"/>
      <w:lvlJc w:val="left"/>
      <w:pPr>
        <w:ind w:left="5940" w:hanging="360"/>
      </w:pPr>
      <w:rPr>
        <w:rFonts w:ascii="Courier New" w:hAnsi="Courier New" w:cs="Courier New" w:hint="default"/>
      </w:rPr>
    </w:lvl>
    <w:lvl w:ilvl="8" w:tplc="04140005" w:tentative="1">
      <w:start w:val="1"/>
      <w:numFmt w:val="bullet"/>
      <w:lvlText w:val=""/>
      <w:lvlJc w:val="left"/>
      <w:pPr>
        <w:ind w:left="6660" w:hanging="360"/>
      </w:pPr>
      <w:rPr>
        <w:rFonts w:ascii="Wingdings" w:hAnsi="Wingdings" w:hint="default"/>
      </w:rPr>
    </w:lvl>
  </w:abstractNum>
  <w:abstractNum w:abstractNumId="5" w15:restartNumberingAfterBreak="0">
    <w:nsid w:val="71423192"/>
    <w:multiLevelType w:val="hybridMultilevel"/>
    <w:tmpl w:val="EA042F4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545070275">
    <w:abstractNumId w:val="1"/>
  </w:num>
  <w:num w:numId="2" w16cid:durableId="725223269">
    <w:abstractNumId w:val="3"/>
  </w:num>
  <w:num w:numId="3" w16cid:durableId="1236865409">
    <w:abstractNumId w:val="5"/>
  </w:num>
  <w:num w:numId="4" w16cid:durableId="812911603">
    <w:abstractNumId w:val="2"/>
  </w:num>
  <w:num w:numId="5" w16cid:durableId="348340803">
    <w:abstractNumId w:val="0"/>
  </w:num>
  <w:num w:numId="6" w16cid:durableId="113783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B9"/>
    <w:rsid w:val="00035B54"/>
    <w:rsid w:val="0004529C"/>
    <w:rsid w:val="000478AE"/>
    <w:rsid w:val="000520BC"/>
    <w:rsid w:val="000549F6"/>
    <w:rsid w:val="00062ED3"/>
    <w:rsid w:val="000C0991"/>
    <w:rsid w:val="000D59D4"/>
    <w:rsid w:val="000F3525"/>
    <w:rsid w:val="00101255"/>
    <w:rsid w:val="00133C0D"/>
    <w:rsid w:val="001359BB"/>
    <w:rsid w:val="00146DCE"/>
    <w:rsid w:val="001C2F42"/>
    <w:rsid w:val="001D033C"/>
    <w:rsid w:val="001D3F8B"/>
    <w:rsid w:val="00216613"/>
    <w:rsid w:val="00216DC3"/>
    <w:rsid w:val="00232DA7"/>
    <w:rsid w:val="002542CB"/>
    <w:rsid w:val="00275590"/>
    <w:rsid w:val="002A6840"/>
    <w:rsid w:val="002C0D61"/>
    <w:rsid w:val="002E21C0"/>
    <w:rsid w:val="002E56D1"/>
    <w:rsid w:val="00346F3C"/>
    <w:rsid w:val="0035041C"/>
    <w:rsid w:val="003B4809"/>
    <w:rsid w:val="003B6FEA"/>
    <w:rsid w:val="003C4336"/>
    <w:rsid w:val="003D479A"/>
    <w:rsid w:val="003D4958"/>
    <w:rsid w:val="00413FCA"/>
    <w:rsid w:val="004522F1"/>
    <w:rsid w:val="00453653"/>
    <w:rsid w:val="00467342"/>
    <w:rsid w:val="00471495"/>
    <w:rsid w:val="00481E12"/>
    <w:rsid w:val="004E317F"/>
    <w:rsid w:val="0050270F"/>
    <w:rsid w:val="00510A15"/>
    <w:rsid w:val="005305D8"/>
    <w:rsid w:val="005569CD"/>
    <w:rsid w:val="00597AEF"/>
    <w:rsid w:val="005E2B6A"/>
    <w:rsid w:val="00611FA5"/>
    <w:rsid w:val="0062511A"/>
    <w:rsid w:val="00633B07"/>
    <w:rsid w:val="00670117"/>
    <w:rsid w:val="00693B66"/>
    <w:rsid w:val="006C7A9A"/>
    <w:rsid w:val="006F04B6"/>
    <w:rsid w:val="006F1283"/>
    <w:rsid w:val="006F5DF9"/>
    <w:rsid w:val="006F6352"/>
    <w:rsid w:val="006F702C"/>
    <w:rsid w:val="00712649"/>
    <w:rsid w:val="007A4049"/>
    <w:rsid w:val="007A4E91"/>
    <w:rsid w:val="00816965"/>
    <w:rsid w:val="008437C6"/>
    <w:rsid w:val="00872111"/>
    <w:rsid w:val="00873E01"/>
    <w:rsid w:val="0087798D"/>
    <w:rsid w:val="008F0BB9"/>
    <w:rsid w:val="00957C16"/>
    <w:rsid w:val="00973818"/>
    <w:rsid w:val="00976232"/>
    <w:rsid w:val="00984BA9"/>
    <w:rsid w:val="009B67DC"/>
    <w:rsid w:val="009B76F7"/>
    <w:rsid w:val="00A30C75"/>
    <w:rsid w:val="00A459DC"/>
    <w:rsid w:val="00A70B04"/>
    <w:rsid w:val="00A72CA9"/>
    <w:rsid w:val="00AC537B"/>
    <w:rsid w:val="00B261B5"/>
    <w:rsid w:val="00B35ED4"/>
    <w:rsid w:val="00B5301B"/>
    <w:rsid w:val="00B82C23"/>
    <w:rsid w:val="00B855C4"/>
    <w:rsid w:val="00BC551D"/>
    <w:rsid w:val="00BE52CA"/>
    <w:rsid w:val="00BF3C81"/>
    <w:rsid w:val="00C05853"/>
    <w:rsid w:val="00C161BC"/>
    <w:rsid w:val="00C24DDC"/>
    <w:rsid w:val="00C27EC3"/>
    <w:rsid w:val="00C47244"/>
    <w:rsid w:val="00C62E29"/>
    <w:rsid w:val="00CA6E7F"/>
    <w:rsid w:val="00CB2C92"/>
    <w:rsid w:val="00CB73BD"/>
    <w:rsid w:val="00CD5BF8"/>
    <w:rsid w:val="00D128D8"/>
    <w:rsid w:val="00D23A5C"/>
    <w:rsid w:val="00DA0B93"/>
    <w:rsid w:val="00DA0DBA"/>
    <w:rsid w:val="00DA1D61"/>
    <w:rsid w:val="00DA39B4"/>
    <w:rsid w:val="00DD065A"/>
    <w:rsid w:val="00DE7199"/>
    <w:rsid w:val="00E716D5"/>
    <w:rsid w:val="00EB00E2"/>
    <w:rsid w:val="00EC361E"/>
    <w:rsid w:val="00F05BB8"/>
    <w:rsid w:val="00F161AE"/>
    <w:rsid w:val="00F344C8"/>
    <w:rsid w:val="00F653A1"/>
    <w:rsid w:val="00F71BB2"/>
    <w:rsid w:val="00F966F2"/>
    <w:rsid w:val="00F96C0E"/>
    <w:rsid w:val="00FD04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7455"/>
  <w15:chartTrackingRefBased/>
  <w15:docId w15:val="{3F4535CA-5D27-4185-9C07-74F57F4D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AE"/>
    <w:rPr>
      <w:sz w:val="24"/>
    </w:rPr>
  </w:style>
  <w:style w:type="paragraph" w:styleId="Overskrift1">
    <w:name w:val="heading 1"/>
    <w:basedOn w:val="Normal"/>
    <w:next w:val="Normal"/>
    <w:link w:val="Overskrift1Tegn"/>
    <w:uiPriority w:val="9"/>
    <w:qFormat/>
    <w:rsid w:val="00A459D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nb-NO"/>
    </w:rPr>
  </w:style>
  <w:style w:type="paragraph" w:styleId="Overskrift2">
    <w:name w:val="heading 2"/>
    <w:basedOn w:val="Overskrift1"/>
    <w:next w:val="Normal"/>
    <w:link w:val="Overskrift2Tegn"/>
    <w:qFormat/>
    <w:rsid w:val="00A459DC"/>
    <w:pPr>
      <w:keepLines w:val="0"/>
      <w:spacing w:after="120"/>
      <w:outlineLvl w:val="1"/>
    </w:pPr>
    <w:rPr>
      <w:rFonts w:ascii="Times New Roman" w:eastAsia="Times New Roman" w:hAnsi="Times New Roman" w:cs="Arial"/>
      <w:b/>
      <w:bCs/>
      <w:iCs/>
      <w:color w:val="000000"/>
      <w:kern w:val="32"/>
      <w:szCs w:val="28"/>
    </w:rPr>
  </w:style>
  <w:style w:type="paragraph" w:styleId="Overskrift3">
    <w:name w:val="heading 3"/>
    <w:basedOn w:val="Normal"/>
    <w:next w:val="Normal"/>
    <w:link w:val="Overskrift3Tegn"/>
    <w:unhideWhenUsed/>
    <w:qFormat/>
    <w:rsid w:val="00A459DC"/>
    <w:pPr>
      <w:spacing w:after="0" w:line="240" w:lineRule="auto"/>
      <w:outlineLvl w:val="2"/>
    </w:pPr>
    <w:rPr>
      <w:rFonts w:ascii="Times New Roman" w:eastAsia="Times New Roman" w:hAnsi="Times New Roman" w:cs="Times New Roman"/>
      <w:b/>
      <w:szCs w:val="24"/>
      <w:lang w:eastAsia="nb-NO"/>
    </w:rPr>
  </w:style>
  <w:style w:type="paragraph" w:styleId="Overskrift6">
    <w:name w:val="heading 6"/>
    <w:basedOn w:val="Overskrift2"/>
    <w:next w:val="Normal"/>
    <w:link w:val="Overskrift6Tegn"/>
    <w:qFormat/>
    <w:rsid w:val="00A459DC"/>
    <w:pPr>
      <w:outlineLvl w:val="5"/>
    </w:pPr>
    <w:rPr>
      <w:rFonts w:cs="Times New Roman"/>
      <w:b w:val="0"/>
      <w:bCs w:val="0"/>
      <w:sz w:val="24"/>
      <w:szCs w:val="22"/>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aksdokumenter">
    <w:name w:val="Saksdokumenter"/>
    <w:basedOn w:val="Normal"/>
    <w:link w:val="SaksdokumenterTegn"/>
    <w:qFormat/>
    <w:rsid w:val="00A459DC"/>
    <w:pPr>
      <w:spacing w:after="0" w:line="240" w:lineRule="auto"/>
    </w:pPr>
    <w:rPr>
      <w:rFonts w:ascii="Times New Roman" w:eastAsia="Times New Roman" w:hAnsi="Times New Roman" w:cs="Times New Roman"/>
      <w:sz w:val="20"/>
      <w:szCs w:val="20"/>
      <w:lang w:eastAsia="nb-NO"/>
    </w:rPr>
  </w:style>
  <w:style w:type="character" w:customStyle="1" w:styleId="SaksdokumenterTegn">
    <w:name w:val="Saksdokumenter Tegn"/>
    <w:basedOn w:val="Standardskriftforavsnitt"/>
    <w:link w:val="Saksdokumenter"/>
    <w:rsid w:val="00A459DC"/>
    <w:rPr>
      <w:rFonts w:ascii="Times New Roman" w:eastAsia="Times New Roman" w:hAnsi="Times New Roman" w:cs="Times New Roman"/>
      <w:sz w:val="20"/>
      <w:szCs w:val="20"/>
      <w:lang w:eastAsia="nb-NO"/>
    </w:rPr>
  </w:style>
  <w:style w:type="paragraph" w:customStyle="1" w:styleId="Saksoverskrift">
    <w:name w:val="Saksoverskrift"/>
    <w:basedOn w:val="Overskrift1"/>
    <w:next w:val="Normal"/>
    <w:link w:val="SaksoverskriftTegn"/>
    <w:qFormat/>
    <w:rsid w:val="00A459DC"/>
    <w:rPr>
      <w:rFonts w:ascii="Verdana" w:hAnsi="Verdana"/>
      <w:color w:val="000000"/>
      <w:sz w:val="36"/>
      <w:szCs w:val="22"/>
    </w:rPr>
  </w:style>
  <w:style w:type="character" w:customStyle="1" w:styleId="SaksoverskriftTegn">
    <w:name w:val="Saksoverskrift Tegn"/>
    <w:basedOn w:val="Standardskriftforavsnitt"/>
    <w:link w:val="Saksoverskrift"/>
    <w:rsid w:val="00A459DC"/>
    <w:rPr>
      <w:rFonts w:ascii="Verdana" w:eastAsiaTheme="majorEastAsia" w:hAnsi="Verdana" w:cstheme="majorBidi"/>
      <w:color w:val="000000"/>
      <w:sz w:val="36"/>
      <w:lang w:eastAsia="nb-NO"/>
    </w:rPr>
  </w:style>
  <w:style w:type="character" w:customStyle="1" w:styleId="Overskrift1Tegn">
    <w:name w:val="Overskrift 1 Tegn"/>
    <w:basedOn w:val="Standardskriftforavsnitt"/>
    <w:link w:val="Overskrift1"/>
    <w:uiPriority w:val="9"/>
    <w:rsid w:val="00A459DC"/>
    <w:rPr>
      <w:rFonts w:asciiTheme="majorHAnsi" w:eastAsiaTheme="majorEastAsia" w:hAnsiTheme="majorHAnsi" w:cstheme="majorBidi"/>
      <w:color w:val="2E74B5" w:themeColor="accent1" w:themeShade="BF"/>
      <w:sz w:val="32"/>
      <w:szCs w:val="32"/>
      <w:lang w:eastAsia="nb-NO"/>
    </w:rPr>
  </w:style>
  <w:style w:type="character" w:customStyle="1" w:styleId="Overskrift2Tegn">
    <w:name w:val="Overskrift 2 Tegn"/>
    <w:basedOn w:val="Standardskriftforavsnitt"/>
    <w:link w:val="Overskrift2"/>
    <w:rsid w:val="00A459DC"/>
    <w:rPr>
      <w:rFonts w:ascii="Times New Roman" w:eastAsia="Times New Roman" w:hAnsi="Times New Roman" w:cs="Arial"/>
      <w:b/>
      <w:bCs/>
      <w:iCs/>
      <w:color w:val="000000"/>
      <w:kern w:val="32"/>
      <w:sz w:val="32"/>
      <w:szCs w:val="28"/>
      <w:lang w:eastAsia="nb-NO"/>
    </w:rPr>
  </w:style>
  <w:style w:type="character" w:customStyle="1" w:styleId="Overskrift3Tegn">
    <w:name w:val="Overskrift 3 Tegn"/>
    <w:basedOn w:val="Standardskriftforavsnitt"/>
    <w:link w:val="Overskrift3"/>
    <w:rsid w:val="00A459DC"/>
    <w:rPr>
      <w:rFonts w:ascii="Times New Roman" w:eastAsia="Times New Roman" w:hAnsi="Times New Roman" w:cs="Times New Roman"/>
      <w:b/>
      <w:sz w:val="24"/>
      <w:szCs w:val="24"/>
      <w:lang w:eastAsia="nb-NO"/>
    </w:rPr>
  </w:style>
  <w:style w:type="character" w:customStyle="1" w:styleId="Overskrift6Tegn">
    <w:name w:val="Overskrift 6 Tegn"/>
    <w:basedOn w:val="Standardskriftforavsnitt"/>
    <w:link w:val="Overskrift6"/>
    <w:rsid w:val="00A459DC"/>
    <w:rPr>
      <w:rFonts w:ascii="Times New Roman" w:eastAsia="Times New Roman" w:hAnsi="Times New Roman" w:cs="Times New Roman"/>
      <w:iCs/>
      <w:color w:val="000000"/>
      <w:kern w:val="32"/>
      <w:sz w:val="24"/>
      <w:u w:val="single"/>
      <w:lang w:eastAsia="nb-NO"/>
    </w:rPr>
  </w:style>
  <w:style w:type="paragraph" w:styleId="Brdtekst">
    <w:name w:val="Body Text"/>
    <w:basedOn w:val="Normal"/>
    <w:link w:val="BrdtekstTegn"/>
    <w:uiPriority w:val="99"/>
    <w:unhideWhenUsed/>
    <w:rsid w:val="00A459DC"/>
    <w:pPr>
      <w:spacing w:after="0" w:line="240" w:lineRule="auto"/>
      <w:ind w:left="1077"/>
    </w:pPr>
    <w:rPr>
      <w:rFonts w:ascii="Times New Roman" w:eastAsia="Times New Roman" w:hAnsi="Times New Roman" w:cs="Times New Roman"/>
      <w:szCs w:val="20"/>
      <w:lang w:eastAsia="nb-NO"/>
    </w:rPr>
  </w:style>
  <w:style w:type="character" w:customStyle="1" w:styleId="BrdtekstTegn">
    <w:name w:val="Brødtekst Tegn"/>
    <w:basedOn w:val="Standardskriftforavsnitt"/>
    <w:link w:val="Brdtekst"/>
    <w:uiPriority w:val="99"/>
    <w:rsid w:val="00A459DC"/>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F0BB9"/>
    <w:pPr>
      <w:ind w:left="720"/>
      <w:contextualSpacing/>
    </w:pPr>
  </w:style>
  <w:style w:type="paragraph" w:styleId="Bobletekst">
    <w:name w:val="Balloon Text"/>
    <w:basedOn w:val="Normal"/>
    <w:link w:val="BobletekstTegn"/>
    <w:uiPriority w:val="99"/>
    <w:semiHidden/>
    <w:unhideWhenUsed/>
    <w:rsid w:val="008F0BB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F0BB9"/>
    <w:rPr>
      <w:rFonts w:ascii="Segoe UI" w:hAnsi="Segoe UI" w:cs="Segoe UI"/>
      <w:sz w:val="18"/>
      <w:szCs w:val="18"/>
    </w:rPr>
  </w:style>
  <w:style w:type="paragraph" w:styleId="Revisjon">
    <w:name w:val="Revision"/>
    <w:hidden/>
    <w:uiPriority w:val="99"/>
    <w:semiHidden/>
    <w:rsid w:val="00510A15"/>
    <w:pPr>
      <w:spacing w:after="0" w:line="240" w:lineRule="auto"/>
    </w:pPr>
    <w:rPr>
      <w:sz w:val="24"/>
    </w:rPr>
  </w:style>
  <w:style w:type="paragraph" w:styleId="Topptekst">
    <w:name w:val="header"/>
    <w:basedOn w:val="Normal"/>
    <w:link w:val="TopptekstTegn"/>
    <w:uiPriority w:val="99"/>
    <w:unhideWhenUsed/>
    <w:rsid w:val="00F966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966F2"/>
    <w:rPr>
      <w:sz w:val="24"/>
    </w:rPr>
  </w:style>
  <w:style w:type="paragraph" w:styleId="Bunntekst">
    <w:name w:val="footer"/>
    <w:basedOn w:val="Normal"/>
    <w:link w:val="BunntekstTegn"/>
    <w:uiPriority w:val="99"/>
    <w:unhideWhenUsed/>
    <w:rsid w:val="00F966F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966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2172">
      <w:bodyDiv w:val="1"/>
      <w:marLeft w:val="0"/>
      <w:marRight w:val="0"/>
      <w:marTop w:val="0"/>
      <w:marBottom w:val="0"/>
      <w:divBdr>
        <w:top w:val="none" w:sz="0" w:space="0" w:color="auto"/>
        <w:left w:val="none" w:sz="0" w:space="0" w:color="auto"/>
        <w:bottom w:val="none" w:sz="0" w:space="0" w:color="auto"/>
        <w:right w:val="none" w:sz="0" w:space="0" w:color="auto"/>
      </w:divBdr>
    </w:div>
    <w:div w:id="1926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EC5C-D1F0-4EC1-B8B5-75300BB4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7167</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Myhre</dc:creator>
  <cp:keywords/>
  <dc:description/>
  <cp:lastModifiedBy>Leder for Teologene</cp:lastModifiedBy>
  <cp:revision>2</cp:revision>
  <cp:lastPrinted>2023-05-23T06:58:00Z</cp:lastPrinted>
  <dcterms:created xsi:type="dcterms:W3CDTF">2023-06-01T13:12:00Z</dcterms:created>
  <dcterms:modified xsi:type="dcterms:W3CDTF">2023-06-01T13:12:00Z</dcterms:modified>
</cp:coreProperties>
</file>