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Innkomne saker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nkommet forslag fra Fagforbundet Narvik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/24 Utvidelse av styret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Styret foreslår utvidelse av styre med 2 styremedlemmer. Slik at man til enhver tid har alle HTV i styret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orslag til vedtak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Styre utvides med to representanter forbeholdt HTV Evenes og HTV Narvik slik at alle HTV sitter i styret i Fagforbundet Narvik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2/24 Styrehonorar: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norar har ikke vært oppjustert siden 2019, og styret tenker at det er på tide med oppjustering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orslag til vedtak: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norar Styremøter økes fra 440 til 550 uansett om man har fysisk eller teams og at kjøring ligger i denne summen. Fra og med 01.01.2024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3/24 Kjøregodtgjørelse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jøregodtgjørelsen som ble vedtatt i 2019 er noe uklar, derfor ønsker vi å spesifisere kjøregodtgjørelsen i nytt vedtak.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orslag til vedtak: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jøregodtgjørelse utover 15 km tilstås med 3.5 kr pr km en vei. Ved kjøring over 15 km tilstås kjøregodtgjørelse fra 1 km. Dette gjelder ved aktiviteter i Fagforbundet Narvik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