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8B026"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bookmarkStart w:id="0" w:name="_GoBack"/>
      <w:r>
        <w:rPr>
          <w:rStyle w:val="normaltextrun"/>
          <w:rFonts w:ascii="Calibri" w:hAnsi="Calibri" w:cs="Segoe UI"/>
          <w:b/>
          <w:bCs/>
          <w:sz w:val="22"/>
          <w:szCs w:val="22"/>
        </w:rPr>
        <w:t>Felles veileder om avvikling av ferie i 2020</w:t>
      </w:r>
      <w:r>
        <w:rPr>
          <w:rStyle w:val="eop"/>
          <w:rFonts w:ascii="Calibri" w:hAnsi="Calibri" w:cs="Segoe UI"/>
          <w:sz w:val="22"/>
          <w:szCs w:val="22"/>
        </w:rPr>
        <w:t> </w:t>
      </w:r>
    </w:p>
    <w:bookmarkEnd w:id="0"/>
    <w:p w14:paraId="3F2A579B"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66F98D1"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Innledning</w:t>
      </w:r>
      <w:r>
        <w:rPr>
          <w:rStyle w:val="eop"/>
          <w:rFonts w:ascii="Calibri" w:hAnsi="Calibri" w:cs="Segoe UI"/>
          <w:sz w:val="22"/>
          <w:szCs w:val="22"/>
        </w:rPr>
        <w:t> </w:t>
      </w:r>
    </w:p>
    <w:p w14:paraId="12467D05"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Koronaepidemien innebærer usikkerhet på flere områder. Partene anbefaler likevel at ferieavviklingen, så langt det lar seg gjøre, planlegges og gjennomføres på en mest mulig normal måte slik at det skaper størst mulig forutsigbarhet for arbeidstaker og arbeidsgiver. Omfanget av eventuelle endringer i fastsatt ferie bør begrenses mest mulig. </w:t>
      </w:r>
      <w:r>
        <w:rPr>
          <w:rStyle w:val="scxw6794219"/>
          <w:rFonts w:ascii="Calibri" w:hAnsi="Calibri" w:cs="Segoe UI"/>
          <w:sz w:val="22"/>
          <w:szCs w:val="22"/>
        </w:rPr>
        <w:t> </w:t>
      </w:r>
      <w:r>
        <w:rPr>
          <w:rFonts w:ascii="Calibri" w:hAnsi="Calibri" w:cs="Segoe UI"/>
          <w:sz w:val="22"/>
          <w:szCs w:val="22"/>
        </w:rPr>
        <w:br/>
      </w:r>
      <w:r>
        <w:rPr>
          <w:rStyle w:val="scxw6794219"/>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Arbeidsgiver har et behov for å sikre tilstrekkelig personell og forsvarlige tjenester under den pågående koronaepidemien, noe som kan medføre at ferieavviklingen i 2020 ikke kan gjennomføres som normalt for enkelte arbeidstakergrupper. I den grad det lar seg gjøre oppfordrer partene til at det tilstrebes frivillige løsninger.</w:t>
      </w:r>
      <w:r>
        <w:rPr>
          <w:rStyle w:val="eop"/>
          <w:rFonts w:ascii="Calibri" w:hAnsi="Calibri" w:cs="Segoe UI"/>
          <w:sz w:val="22"/>
          <w:szCs w:val="22"/>
        </w:rPr>
        <w:t> </w:t>
      </w:r>
    </w:p>
    <w:p w14:paraId="3536DC4B"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4ADFAEC"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Ferieloven gir arbeidsgiver et stort handlingsrom til å fastsette og organisere ferie. Arbeidsgiver og arbeidstaker har videre mulighet til å avtale avvikende ordninger. Denne veilederen er utarbeidet for å beskrive handlingsrommet i ferieloven, knyttet til eventuelle særskilte behov som følge av koronaepidemien. Vi gjør oppmerksom på at det gjelder særskilte regler for avvikling av ferie for undervisningspersonalet, jf. HTA kapittel 1, § 7, punkt 7.2. Disse reglene vil ikke bli nærmere omtalt i denne veilederen.</w:t>
      </w:r>
      <w:r>
        <w:rPr>
          <w:rStyle w:val="eop"/>
          <w:rFonts w:ascii="Calibri" w:hAnsi="Calibri" w:cs="Segoe UI"/>
          <w:sz w:val="22"/>
          <w:szCs w:val="22"/>
        </w:rPr>
        <w:t> </w:t>
      </w:r>
    </w:p>
    <w:p w14:paraId="717FE2C2"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22B2110"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at ferieavviklingen i størst mulig grad skal kunne gjennomføres som normalt, bør arbeidsgiver vurdere om en justering i arbeidsplanene kan forenkle ferieavviklingen. Partene sentralt har inngått en midlertidig tariffavtale om unntak fra arbeidstidsbestemmelsene i arbeidsmiljøloven, som skal sikre tilstrekkelig personell og forsvarlige tjenester under den pågående koronaepidemien. Avtalen forutsetter at behovet er begrunnet i den ekstraordinære situasjonen som er oppstått som følge av den pågående koronaepidemien.</w:t>
      </w:r>
      <w:r>
        <w:rPr>
          <w:rStyle w:val="eop"/>
          <w:rFonts w:ascii="Calibri" w:hAnsi="Calibri" w:cs="Segoe UI"/>
          <w:sz w:val="22"/>
          <w:szCs w:val="22"/>
        </w:rPr>
        <w:t> </w:t>
      </w:r>
    </w:p>
    <w:p w14:paraId="5BA054ED"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0E6FA71"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de gruppene som har ekstra arbeidsbelastning er det viktig med hvile og restitusjon, og det må søkes å finne løsninger slik at disse i størst mulig grad kan få avviklet mest mulig ferie. Av smittevernhensyn er det ønskelig med færrest mulige arbeidstakere innom den enkelte arbeidsplass. Det kan derfor være ønskelig å redusere bruken av eksterne vikarer. Deltidsansatte vil ved å utvide stillingen midlertidig som følge av ferievikariater kunne bidra til å redusere behovet for eksterne vikarer.</w:t>
      </w:r>
      <w:r>
        <w:rPr>
          <w:rStyle w:val="eop"/>
          <w:rFonts w:ascii="Calibri" w:hAnsi="Calibri" w:cs="Segoe UI"/>
          <w:sz w:val="22"/>
          <w:szCs w:val="22"/>
        </w:rPr>
        <w:t> </w:t>
      </w:r>
    </w:p>
    <w:p w14:paraId="28227B92"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DEB648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Organisering av ferieavvikling</w:t>
      </w:r>
      <w:r>
        <w:rPr>
          <w:rStyle w:val="normaltextrun"/>
          <w:rFonts w:ascii="Calibri" w:hAnsi="Calibri" w:cs="Segoe UI"/>
          <w:sz w:val="22"/>
          <w:szCs w:val="22"/>
        </w:rPr>
        <w:t> </w:t>
      </w:r>
      <w:r>
        <w:rPr>
          <w:rStyle w:val="eop"/>
          <w:rFonts w:ascii="Calibri" w:hAnsi="Calibri" w:cs="Segoe UI"/>
          <w:sz w:val="22"/>
          <w:szCs w:val="22"/>
        </w:rPr>
        <w:t> </w:t>
      </w:r>
    </w:p>
    <w:p w14:paraId="5A7D9797"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å få best mulig oversikt over ferieplanleggingen i 2020 bør arbeidsgiver foreta en kartlegging av hvordan den enkelte arbeidstaker kan se for seg ferieavviklingen. Mye av utfordringene ved ferieplanleggingen kan trolig reduseres ved enighet med den enkelte arbeidstaker. Viktige avklaringer kan f.eks. være: </w:t>
      </w:r>
      <w:r>
        <w:rPr>
          <w:rStyle w:val="eop"/>
          <w:rFonts w:ascii="Calibri" w:hAnsi="Calibri" w:cs="Segoe UI"/>
          <w:sz w:val="22"/>
          <w:szCs w:val="22"/>
        </w:rPr>
        <w:t> </w:t>
      </w:r>
    </w:p>
    <w:p w14:paraId="1F2D6D4D" w14:textId="77777777" w:rsidR="00EB57AC" w:rsidRDefault="00EB57AC" w:rsidP="00EB57AC">
      <w:pPr>
        <w:pStyle w:val="paragraph"/>
        <w:numPr>
          <w:ilvl w:val="0"/>
          <w:numId w:val="1"/>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Mulighet til å avvikle ferien utenom hovedferieperioden</w:t>
      </w:r>
      <w:r>
        <w:rPr>
          <w:rStyle w:val="eop"/>
          <w:rFonts w:ascii="Calibri" w:hAnsi="Calibri" w:cs="Segoe UI"/>
          <w:sz w:val="22"/>
          <w:szCs w:val="22"/>
        </w:rPr>
        <w:t> </w:t>
      </w:r>
    </w:p>
    <w:p w14:paraId="2CC6D69A" w14:textId="77777777" w:rsidR="00EB57AC" w:rsidRDefault="00EB57AC" w:rsidP="00EB57AC">
      <w:pPr>
        <w:pStyle w:val="paragraph"/>
        <w:numPr>
          <w:ilvl w:val="0"/>
          <w:numId w:val="1"/>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Behovet for å ta hele hovedferien sammenhengende eller om det er et alternativ å dele opp hovedferien og heller strekke ferien utover hovedferieperioden eller ferieåret </w:t>
      </w:r>
      <w:r>
        <w:rPr>
          <w:rStyle w:val="eop"/>
          <w:rFonts w:ascii="Calibri" w:hAnsi="Calibri" w:cs="Segoe UI"/>
          <w:sz w:val="22"/>
          <w:szCs w:val="22"/>
        </w:rPr>
        <w:t> </w:t>
      </w:r>
    </w:p>
    <w:p w14:paraId="63238B30" w14:textId="77777777" w:rsidR="00EB57AC" w:rsidRDefault="00EB57AC" w:rsidP="00EB57AC">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Muligheten for å avtale fastsettelse av ekstraferien i god tid for arbeidstaker over 60 år</w:t>
      </w:r>
      <w:r>
        <w:rPr>
          <w:rStyle w:val="eop"/>
          <w:rFonts w:ascii="Calibri" w:hAnsi="Calibri" w:cs="Segoe UI"/>
          <w:sz w:val="22"/>
          <w:szCs w:val="22"/>
        </w:rPr>
        <w:t> </w:t>
      </w:r>
    </w:p>
    <w:p w14:paraId="659FA7F2" w14:textId="77777777" w:rsidR="00EB57AC" w:rsidRDefault="00EB57AC" w:rsidP="00EB57AC">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Arbeidstakers behov og ønsker om varslingsfrist for tidspunktet for ferieavviklingen </w:t>
      </w:r>
      <w:r>
        <w:rPr>
          <w:rStyle w:val="eop"/>
          <w:rFonts w:ascii="Calibri" w:hAnsi="Calibri" w:cs="Segoe UI"/>
          <w:sz w:val="22"/>
          <w:szCs w:val="22"/>
        </w:rPr>
        <w:t> </w:t>
      </w:r>
    </w:p>
    <w:p w14:paraId="38FAE441" w14:textId="77777777" w:rsidR="00EB57AC" w:rsidRDefault="00EB57AC" w:rsidP="00EB57AC">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Ønske om å endre fastsatt ferie </w:t>
      </w:r>
      <w:r>
        <w:rPr>
          <w:rStyle w:val="eop"/>
          <w:rFonts w:ascii="Calibri" w:hAnsi="Calibri" w:cs="Segoe UI"/>
          <w:sz w:val="22"/>
          <w:szCs w:val="22"/>
        </w:rPr>
        <w:t> </w:t>
      </w:r>
    </w:p>
    <w:p w14:paraId="0C135653"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scxw6794219"/>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Arbeidsgiver skal i god tid før ferien drøfte fastsetting av feriefritid og oppsetting av ferielister med den enkelte arbeidstaker eller </w:t>
      </w:r>
      <w:proofErr w:type="spellStart"/>
      <w:r>
        <w:rPr>
          <w:rStyle w:val="spellingerror"/>
          <w:rFonts w:ascii="Calibri" w:hAnsi="Calibri" w:cs="Segoe UI"/>
          <w:sz w:val="22"/>
          <w:szCs w:val="22"/>
        </w:rPr>
        <w:t>vedkommendes</w:t>
      </w:r>
      <w:proofErr w:type="spellEnd"/>
      <w:r>
        <w:rPr>
          <w:rStyle w:val="normaltextrun"/>
          <w:rFonts w:ascii="Calibri" w:hAnsi="Calibri" w:cs="Segoe UI"/>
          <w:sz w:val="22"/>
          <w:szCs w:val="22"/>
        </w:rPr>
        <w:t> tillitsvalgte. Oppnås ikke enighet med arbeidstaker kan arbeidsgiver fastsette arbeidstakerens ferie innenfor ferielovens rammer. </w:t>
      </w:r>
      <w:r>
        <w:rPr>
          <w:rStyle w:val="eop"/>
          <w:rFonts w:ascii="Calibri" w:hAnsi="Calibri" w:cs="Segoe UI"/>
          <w:sz w:val="22"/>
          <w:szCs w:val="22"/>
        </w:rPr>
        <w:t> </w:t>
      </w:r>
    </w:p>
    <w:p w14:paraId="5CE37748" w14:textId="77777777" w:rsidR="00EB57AC" w:rsidRDefault="00EB57AC" w:rsidP="00EB57AC">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14:paraId="1D63E9CA" w14:textId="77777777" w:rsidR="004C1624" w:rsidRDefault="004C1624" w:rsidP="00EB57AC">
      <w:pPr>
        <w:pStyle w:val="paragraph"/>
        <w:spacing w:before="0" w:beforeAutospacing="0" w:after="0" w:afterAutospacing="0"/>
        <w:textAlignment w:val="baseline"/>
        <w:rPr>
          <w:rStyle w:val="eop"/>
          <w:rFonts w:ascii="Calibri" w:hAnsi="Calibri" w:cs="Segoe UI"/>
          <w:sz w:val="22"/>
          <w:szCs w:val="22"/>
        </w:rPr>
      </w:pPr>
    </w:p>
    <w:p w14:paraId="1D0C9BB0" w14:textId="77777777" w:rsidR="004C1624" w:rsidRDefault="004C1624" w:rsidP="00EB57AC">
      <w:pPr>
        <w:pStyle w:val="paragraph"/>
        <w:spacing w:before="0" w:beforeAutospacing="0" w:after="0" w:afterAutospacing="0"/>
        <w:textAlignment w:val="baseline"/>
        <w:rPr>
          <w:rFonts w:ascii="Segoe UI" w:hAnsi="Segoe UI" w:cs="Segoe UI"/>
          <w:sz w:val="18"/>
          <w:szCs w:val="18"/>
        </w:rPr>
      </w:pPr>
    </w:p>
    <w:p w14:paraId="07BD7659"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lastRenderedPageBreak/>
        <w:t>Varslingsfrist</w:t>
      </w:r>
      <w:r>
        <w:rPr>
          <w:rStyle w:val="eop"/>
          <w:rFonts w:ascii="Calibri" w:hAnsi="Calibri" w:cs="Segoe UI"/>
          <w:sz w:val="22"/>
          <w:szCs w:val="22"/>
        </w:rPr>
        <w:t> </w:t>
      </w:r>
    </w:p>
    <w:p w14:paraId="0A71EBC8"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Arbeidstaker kan kreve å få underretning om ferieavvikling tidligst mulig og senest to måneder før ferie skal avvikles, jf. ferieloven § 6 nr. 2 første ledd.  Det er vanlig praksis at det gis minst to måneders varsel, uavhengig av om en arbeidstaker krever det eller ikke. Det er imidlertid ikke noe i veien for at arbeidsgiver og arbeidstaker blir enige om at feriefastsettingen kan skje med kortere varslingsfrist.  </w:t>
      </w:r>
      <w:r>
        <w:rPr>
          <w:rStyle w:val="eop"/>
          <w:rFonts w:ascii="Calibri" w:hAnsi="Calibri" w:cs="Segoe UI"/>
          <w:sz w:val="22"/>
          <w:szCs w:val="22"/>
        </w:rPr>
        <w:t> </w:t>
      </w:r>
    </w:p>
    <w:p w14:paraId="4F6F1B04"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746C4D9A"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Arbeidsgiver kan fravike varslingsfristen såfremt særlige grunner er til hinder for å gi to måneders varsel jf. ferieloven § 6 nr. 2 første ledd. Det følger av forarbeidene til loven at driftsmessige forhold kan begrunne kortere varslingsfrist. Koronaepidemien innebærer en helt ekstraordinær situasjon, som medfører stor usikkerhet knyttet til driftsmessige forhold og bemanning.  Dels vil det i perioder være vanskelig å forutse og planlegge behovet for tilstrekkelig bemanningen og dels vil det være behov for at arbeidstakere avvikler noe av ferien i roligere perioder. Det må vurderes konkret på den enkelte arbeidsplass om vilkårene for kortere varslingsfrist er til stede.</w:t>
      </w:r>
      <w:r>
        <w:rPr>
          <w:rStyle w:val="eop"/>
          <w:rFonts w:ascii="Calibri" w:hAnsi="Calibri" w:cs="Segoe UI"/>
          <w:sz w:val="22"/>
          <w:szCs w:val="22"/>
        </w:rPr>
        <w:t> </w:t>
      </w:r>
    </w:p>
    <w:p w14:paraId="79EA1563"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24436E54"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ekstraferien for arbeidstakere over 60 år er det en særskilt varslingsfrist, der det er arbeidstaker selv som varsler avviklingen av disse seks virkedagene. Ferien skal varsles med minst 14 dager, jf. ferieloven § 6 nr. 2 andre ledd. Loven er ikke til hinder for at arbeidstaker og arbeidsgiver avtaler når ekstraferien skal tas ut.  </w:t>
      </w:r>
      <w:r>
        <w:rPr>
          <w:rStyle w:val="eop"/>
          <w:rFonts w:ascii="Calibri" w:hAnsi="Calibri" w:cs="Segoe UI"/>
          <w:sz w:val="22"/>
          <w:szCs w:val="22"/>
        </w:rPr>
        <w:t> </w:t>
      </w:r>
    </w:p>
    <w:p w14:paraId="49EC4DA1"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96AED69"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Ferieavvikling</w:t>
      </w:r>
      <w:r>
        <w:rPr>
          <w:rStyle w:val="normaltextrun"/>
          <w:rFonts w:ascii="Calibri" w:hAnsi="Calibri" w:cs="Segoe UI"/>
          <w:sz w:val="22"/>
          <w:szCs w:val="22"/>
        </w:rPr>
        <w:t> </w:t>
      </w:r>
      <w:r>
        <w:rPr>
          <w:rStyle w:val="eop"/>
          <w:rFonts w:ascii="Calibri" w:hAnsi="Calibri" w:cs="Segoe UI"/>
          <w:sz w:val="22"/>
          <w:szCs w:val="22"/>
        </w:rPr>
        <w:t> </w:t>
      </w:r>
    </w:p>
    <w:p w14:paraId="66229967"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Arbeidsgiver plikter etter ferieloven å sørge for at arbeidstaker gis 25 virkedager (fire uker og en dag) ferie, jf. ferieloven § 5 nr. 1. Arbeidstaker over 60 år har i tillegg et lovfestet krav på ytterligere seks virkedager (en uke), jf. ferieloven § 5 nr. 2. I tillegg til den lovfestede ferien kommer fem virkedager avtalefestet ferie, jf. HTA kapittel 1, § 7, punkt 7.4. Det klare utgangspunkt er at all ferie skal avvikles i løpet av et ferieår, men loven åpner både for at deler av ferien tas forskuddsvis og/eller overføres, jf. ferieloven § 7 nr. 3.  </w:t>
      </w:r>
      <w:r>
        <w:rPr>
          <w:rStyle w:val="eop"/>
          <w:rFonts w:ascii="Calibri" w:hAnsi="Calibri" w:cs="Segoe UI"/>
          <w:sz w:val="22"/>
          <w:szCs w:val="22"/>
        </w:rPr>
        <w:t> </w:t>
      </w:r>
    </w:p>
    <w:p w14:paraId="5863F077"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14:paraId="0D0CDC3A"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Hovedferieperiode </w:t>
      </w:r>
      <w:r>
        <w:rPr>
          <w:rStyle w:val="normaltextrun"/>
          <w:rFonts w:ascii="Calibri" w:hAnsi="Calibri" w:cs="Segoe UI"/>
          <w:sz w:val="22"/>
          <w:szCs w:val="22"/>
        </w:rPr>
        <w:t> </w:t>
      </w:r>
      <w:r>
        <w:rPr>
          <w:rStyle w:val="eop"/>
          <w:rFonts w:ascii="Calibri" w:hAnsi="Calibri" w:cs="Segoe UI"/>
          <w:sz w:val="22"/>
          <w:szCs w:val="22"/>
        </w:rPr>
        <w:t> </w:t>
      </w:r>
    </w:p>
    <w:p w14:paraId="41694C20"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Hovedferieperioden er fra 1. juni til 30. september, jf. ferieloven § 7 nr. 1. Arbeidstaker har rett til å avvikle tre ukers sammenhengende ferie i hovedferieperioden. Dersom det ikke oppnås enighet, kan arbeidsgiver i kraft av styringsretten bestemme når i hovedferieperioden ferien skal plasseres. Arbeidsgiver kan i større grad enn det som kanskje er normal praksis ha behov for å benytte hele hovedferieperioden, </w:t>
      </w:r>
      <w:r w:rsidR="00171A82">
        <w:rPr>
          <w:rStyle w:val="normaltextrun"/>
          <w:rFonts w:ascii="Calibri" w:hAnsi="Calibri" w:cs="Segoe UI"/>
          <w:sz w:val="22"/>
          <w:szCs w:val="22"/>
        </w:rPr>
        <w:t>for å få avviklet hovedferien. </w:t>
      </w:r>
      <w:r>
        <w:rPr>
          <w:rStyle w:val="normaltextrun"/>
          <w:rFonts w:ascii="Calibri" w:hAnsi="Calibri" w:cs="Segoe UI"/>
          <w:sz w:val="22"/>
          <w:szCs w:val="22"/>
        </w:rPr>
        <w:t>Det kan medføre at ferien for noen må avvikles på</w:t>
      </w:r>
      <w:r w:rsidR="00171A82">
        <w:rPr>
          <w:rStyle w:val="normaltextrun"/>
          <w:rFonts w:ascii="Calibri" w:hAnsi="Calibri" w:cs="Segoe UI"/>
          <w:sz w:val="22"/>
          <w:szCs w:val="22"/>
        </w:rPr>
        <w:t xml:space="preserve"> </w:t>
      </w:r>
      <w:r>
        <w:rPr>
          <w:rStyle w:val="normaltextrun"/>
          <w:rFonts w:ascii="Calibri" w:hAnsi="Calibri" w:cs="Segoe UI"/>
          <w:sz w:val="22"/>
          <w:szCs w:val="22"/>
        </w:rPr>
        <w:t>andre tider innen hovedferieperioden enn det som normalt kan forventes. </w:t>
      </w:r>
      <w:r>
        <w:rPr>
          <w:rStyle w:val="scxw6794219"/>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Arbeidsgiver og arbeidstaker kan avtale at ferien legges til et annet tidspunkt i ferieåret enn hovedferieperioden, eller at ferien deles ytterligere opp jf. ferieloven § 7 nr. 4. </w:t>
      </w:r>
      <w:r>
        <w:rPr>
          <w:rStyle w:val="eop"/>
          <w:rFonts w:ascii="Calibri" w:hAnsi="Calibri" w:cs="Segoe UI"/>
          <w:sz w:val="22"/>
          <w:szCs w:val="22"/>
        </w:rPr>
        <w:t> </w:t>
      </w:r>
    </w:p>
    <w:p w14:paraId="7F9A4428"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C35BF3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Lengde på ferie</w:t>
      </w:r>
      <w:r>
        <w:rPr>
          <w:rStyle w:val="normaltextrun"/>
          <w:rFonts w:ascii="Calibri" w:hAnsi="Calibri" w:cs="Segoe UI"/>
          <w:sz w:val="22"/>
          <w:szCs w:val="22"/>
        </w:rPr>
        <w:t> </w:t>
      </w:r>
      <w:r>
        <w:rPr>
          <w:rStyle w:val="eop"/>
          <w:rFonts w:ascii="Calibri" w:hAnsi="Calibri" w:cs="Segoe UI"/>
          <w:sz w:val="22"/>
          <w:szCs w:val="22"/>
        </w:rPr>
        <w:t> </w:t>
      </w:r>
    </w:p>
    <w:p w14:paraId="14F6B286"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Arbeidstaker kan kreve å få 18 virkedager sammenhengende ferie i hovedferieperioden, jf. ferieloven § 7 nr. 1. Videre kan arbeidstaker kreve at restferien (syv virkedager) tas samlet, jf. ferieloven § 7 nr. 2. Tilsvarende kan arbeidstaker kreve at den avtalefestede ferien (fem virkedager) gis samlet, jf. HTA kapittel 1, § 7 punkt 7.4.1. Om arbeidstaker ønsker, er det ikke noe i veien for at antall sammenhengende uker deles opp eller at restferien tas ut i enkeltdager.  </w:t>
      </w:r>
      <w:r>
        <w:rPr>
          <w:rStyle w:val="eop"/>
          <w:rFonts w:ascii="Calibri" w:hAnsi="Calibri" w:cs="Segoe UI"/>
          <w:sz w:val="22"/>
          <w:szCs w:val="22"/>
        </w:rPr>
        <w:t> </w:t>
      </w:r>
    </w:p>
    <w:p w14:paraId="572B81F7"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B25BEEA"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Arbeidstakere over 60 år bestemmer selv tiden for avvikling av ekstraferien (seks virkedager), samt hvor mange av dagene som skal tas ut i sammenheng, jf. ferieloven § 5 nr. 2. Arbeidsgiver og arbeidstaker kan likevel inngå avtale om fastsettelse av ekstraferien. </w:t>
      </w:r>
      <w:r>
        <w:rPr>
          <w:rStyle w:val="eop"/>
          <w:rFonts w:ascii="Calibri" w:hAnsi="Calibri" w:cs="Segoe UI"/>
          <w:sz w:val="22"/>
          <w:szCs w:val="22"/>
        </w:rPr>
        <w:t> </w:t>
      </w:r>
    </w:p>
    <w:p w14:paraId="3219FD36" w14:textId="77777777" w:rsidR="00EB57AC" w:rsidRDefault="00EB57AC" w:rsidP="00EB57AC">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14:paraId="2A13D12B" w14:textId="77777777" w:rsidR="004C1624" w:rsidRDefault="004C1624" w:rsidP="00EB57AC">
      <w:pPr>
        <w:pStyle w:val="paragraph"/>
        <w:spacing w:before="0" w:beforeAutospacing="0" w:after="0" w:afterAutospacing="0"/>
        <w:textAlignment w:val="baseline"/>
        <w:rPr>
          <w:rStyle w:val="eop"/>
          <w:rFonts w:ascii="Calibri" w:hAnsi="Calibri" w:cs="Segoe UI"/>
          <w:sz w:val="22"/>
          <w:szCs w:val="22"/>
        </w:rPr>
      </w:pPr>
    </w:p>
    <w:p w14:paraId="554C1C36" w14:textId="77777777" w:rsidR="004C1624" w:rsidRDefault="004C1624" w:rsidP="00EB57AC">
      <w:pPr>
        <w:pStyle w:val="paragraph"/>
        <w:spacing w:before="0" w:beforeAutospacing="0" w:after="0" w:afterAutospacing="0"/>
        <w:textAlignment w:val="baseline"/>
        <w:rPr>
          <w:rFonts w:ascii="Segoe UI" w:hAnsi="Segoe UI" w:cs="Segoe UI"/>
          <w:sz w:val="18"/>
          <w:szCs w:val="18"/>
        </w:rPr>
      </w:pPr>
    </w:p>
    <w:p w14:paraId="63E3294B"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Endre fastsatt ferie</w:t>
      </w:r>
      <w:r>
        <w:rPr>
          <w:rStyle w:val="normaltextrun"/>
          <w:rFonts w:ascii="Calibri" w:hAnsi="Calibri" w:cs="Segoe UI"/>
          <w:sz w:val="22"/>
          <w:szCs w:val="22"/>
        </w:rPr>
        <w:t> </w:t>
      </w:r>
      <w:r>
        <w:rPr>
          <w:rStyle w:val="eop"/>
          <w:rFonts w:ascii="Calibri" w:hAnsi="Calibri" w:cs="Segoe UI"/>
          <w:sz w:val="22"/>
          <w:szCs w:val="22"/>
        </w:rPr>
        <w:t> </w:t>
      </w:r>
    </w:p>
    <w:p w14:paraId="1CB40EB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Når arbeidstaker har blitt varslet om når ferien skal avvikles, kan arbeidsgiver kun endre denne ensidig, dersom det blir nødvendig på grunn av uforutsette hendinger. Forutsetningen er at avviklingen av ferie på grunn av de uforutsette hendingene medfører vesentlige driftsproblemer, og at det ikke kan skaffes stedfortreder, jf. ferieloven § 6 nr. 3. Som følge av koronaepidemien vil det kunne oppstå hendelser som ikke kan forutses på fastsettelsestidspunktet, og som derfor kan gi grunnlag for å endre fastsatt ferie. Dette kan for eksempel være aktuelt dersom det oppstår plutselig høyt sykefravær, mange ansatte må i karantene eller isolasjon eller det gis endrede smitteråd for gjenopptakelse av driften. </w:t>
      </w:r>
      <w:r>
        <w:rPr>
          <w:rStyle w:val="eop"/>
          <w:rFonts w:ascii="Calibri" w:hAnsi="Calibri" w:cs="Segoe UI"/>
          <w:sz w:val="22"/>
          <w:szCs w:val="22"/>
        </w:rPr>
        <w:t> </w:t>
      </w:r>
    </w:p>
    <w:p w14:paraId="42A66976"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14:paraId="0528B6ED"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Før ferien endres skal arbeidsgiver drøfte spørsmålet om endring med den enkelte arbeidstaker. Arbeidstaker har rett til å seg bistå av tillitsvalgte i disse drøftingene. Dersom endringen medfører ekstra kostnader for arbeidstaker skal arbeidsgiver som hovedregel få det opplyst under drøftingene. Arbeidstaker kan i så fall kreve å få dokumenterte merutgifter erstattet av arbeidsgiver.  </w:t>
      </w:r>
      <w:r>
        <w:rPr>
          <w:rStyle w:val="scxw6794219"/>
          <w:rFonts w:ascii="Calibri" w:hAnsi="Calibri" w:cs="Segoe UI"/>
          <w:sz w:val="22"/>
          <w:szCs w:val="22"/>
        </w:rPr>
        <w:t> </w:t>
      </w:r>
      <w:r>
        <w:rPr>
          <w:rFonts w:ascii="Calibri" w:hAnsi="Calibri" w:cs="Segoe UI"/>
          <w:sz w:val="22"/>
          <w:szCs w:val="22"/>
        </w:rPr>
        <w:br/>
      </w:r>
      <w:r>
        <w:rPr>
          <w:rStyle w:val="eop"/>
          <w:rFonts w:ascii="Calibri" w:hAnsi="Calibri" w:cs="Segoe UI"/>
          <w:sz w:val="22"/>
          <w:szCs w:val="22"/>
        </w:rPr>
        <w:t> </w:t>
      </w:r>
    </w:p>
    <w:p w14:paraId="05FE5A86"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Overføring av ferie</w:t>
      </w:r>
      <w:r>
        <w:rPr>
          <w:rStyle w:val="normaltextrun"/>
          <w:rFonts w:ascii="Calibri" w:hAnsi="Calibri" w:cs="Segoe UI"/>
          <w:sz w:val="22"/>
          <w:szCs w:val="22"/>
        </w:rPr>
        <w:t> </w:t>
      </w:r>
      <w:r>
        <w:rPr>
          <w:rStyle w:val="eop"/>
          <w:rFonts w:ascii="Calibri" w:hAnsi="Calibri" w:cs="Segoe UI"/>
          <w:sz w:val="22"/>
          <w:szCs w:val="22"/>
        </w:rPr>
        <w:t> </w:t>
      </w:r>
    </w:p>
    <w:p w14:paraId="09E3718B"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Arbeidsgiver og arbeidstaker kan avtale at 12 virkedager av den lovfestede ferien kan overføres til 2021, jf. ferieloven § 7 nr. 3 første ledd. I tillegg kan den avtalefestede ferien på fem virkedager overføres, jf. HTA kapittel 1, § 7, punkt 7.4.6. Normalt avtales dette ofte mot slutten av året, men det er ikke noe i veien for at arbeidstaker og arbeidsgiver blir enige om dette på et tidligere tidspunkt, dersom arbeidstaker ser at det kan være hensiktsmessig å overføre inntil 17 virkedager ferie til 2021. </w:t>
      </w:r>
      <w:r>
        <w:rPr>
          <w:rStyle w:val="eop"/>
          <w:rFonts w:ascii="Calibri" w:hAnsi="Calibri" w:cs="Segoe UI"/>
          <w:sz w:val="22"/>
          <w:szCs w:val="22"/>
        </w:rPr>
        <w:t> </w:t>
      </w:r>
    </w:p>
    <w:p w14:paraId="75879113"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CD56CDA"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Utbetaling av manglende avviklet ferie</w:t>
      </w:r>
      <w:r>
        <w:rPr>
          <w:rStyle w:val="normaltextrun"/>
          <w:rFonts w:ascii="Calibri" w:hAnsi="Calibri" w:cs="Segoe UI"/>
          <w:sz w:val="22"/>
          <w:szCs w:val="22"/>
        </w:rPr>
        <w:t> </w:t>
      </w:r>
      <w:r>
        <w:rPr>
          <w:rStyle w:val="eop"/>
          <w:rFonts w:ascii="Calibri" w:hAnsi="Calibri" w:cs="Segoe UI"/>
          <w:sz w:val="22"/>
          <w:szCs w:val="22"/>
        </w:rPr>
        <w:t> </w:t>
      </w:r>
    </w:p>
    <w:p w14:paraId="52BDD736"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Ferie som ikke er avviklet ved årets slutt, skal overføres til påfølgende ferieår, jf. § 7 nr. 3. Manglende ferieavvikling kan etter ferieloven kun kompenseres økonomisk ved opphør av arbeidsforhold, jf. ferieloven § 11 nr.3.  </w:t>
      </w:r>
      <w:r>
        <w:rPr>
          <w:rStyle w:val="eop"/>
          <w:rFonts w:ascii="Calibri" w:hAnsi="Calibri" w:cs="Segoe UI"/>
          <w:sz w:val="22"/>
          <w:szCs w:val="22"/>
        </w:rPr>
        <w:t> </w:t>
      </w:r>
    </w:p>
    <w:p w14:paraId="57F621BC"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8791173"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779F2EA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0CEDB79"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AC67A04"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7B43A2B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CC77B89" w14:textId="77777777" w:rsidR="00EB57AC" w:rsidRDefault="00EB57AC" w:rsidP="00EB57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30. april 2020</w:t>
      </w:r>
      <w:r>
        <w:rPr>
          <w:rStyle w:val="eop"/>
          <w:rFonts w:ascii="Calibri" w:hAnsi="Calibri" w:cs="Segoe UI"/>
          <w:sz w:val="22"/>
          <w:szCs w:val="22"/>
        </w:rPr>
        <w:t> </w:t>
      </w:r>
    </w:p>
    <w:p w14:paraId="3BDB243E" w14:textId="77777777" w:rsidR="00EB57AC" w:rsidRDefault="00EB57AC" w:rsidP="00EB57A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Segoe UI"/>
          <w:sz w:val="22"/>
          <w:szCs w:val="22"/>
        </w:rPr>
        <w:t> </w:t>
      </w:r>
    </w:p>
    <w:p w14:paraId="610A2089"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C8F0295" w14:textId="77777777" w:rsidR="00EB57AC" w:rsidRDefault="00EB57AC" w:rsidP="00EB57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KS</w:t>
      </w:r>
      <w:r w:rsidR="004C1624">
        <w:rPr>
          <w:rStyle w:val="normaltextrun"/>
          <w:rFonts w:ascii="Calibri" w:hAnsi="Calibri" w:cs="Segoe UI"/>
          <w:sz w:val="22"/>
          <w:szCs w:val="22"/>
        </w:rPr>
        <w:t xml:space="preserve">      </w:t>
      </w:r>
      <w:r w:rsidR="004C1624">
        <w:rPr>
          <w:rStyle w:val="normaltextrun"/>
          <w:rFonts w:ascii="Calibri" w:hAnsi="Calibri" w:cs="Segoe UI"/>
          <w:sz w:val="22"/>
          <w:szCs w:val="22"/>
        </w:rPr>
        <w:tab/>
      </w:r>
      <w:r>
        <w:rPr>
          <w:rStyle w:val="normaltextrun"/>
          <w:rFonts w:ascii="Calibri" w:hAnsi="Calibri" w:cs="Segoe UI"/>
          <w:sz w:val="22"/>
          <w:szCs w:val="22"/>
        </w:rPr>
        <w:tab/>
        <w:t>LO Kommune</w:t>
      </w:r>
      <w:r w:rsidR="004C1624">
        <w:rPr>
          <w:rStyle w:val="normaltextrun"/>
          <w:rFonts w:ascii="Calibri" w:hAnsi="Calibri" w:cs="Segoe UI"/>
          <w:sz w:val="22"/>
          <w:szCs w:val="22"/>
        </w:rPr>
        <w:tab/>
      </w:r>
      <w:r>
        <w:rPr>
          <w:rStyle w:val="normaltextrun"/>
          <w:rFonts w:ascii="Calibri" w:hAnsi="Calibri" w:cs="Segoe UI"/>
          <w:sz w:val="22"/>
          <w:szCs w:val="22"/>
        </w:rPr>
        <w:tab/>
      </w:r>
      <w:proofErr w:type="spellStart"/>
      <w:r>
        <w:rPr>
          <w:rStyle w:val="spellingerror"/>
          <w:rFonts w:ascii="Calibri" w:hAnsi="Calibri" w:cs="Segoe UI"/>
          <w:sz w:val="22"/>
          <w:szCs w:val="22"/>
        </w:rPr>
        <w:t>Unio</w:t>
      </w:r>
      <w:proofErr w:type="spellEnd"/>
      <w:r w:rsidR="004C1624">
        <w:rPr>
          <w:rStyle w:val="spellingerror"/>
          <w:rFonts w:ascii="Calibri" w:hAnsi="Calibri" w:cs="Segoe UI"/>
          <w:sz w:val="22"/>
          <w:szCs w:val="22"/>
        </w:rPr>
        <w:tab/>
      </w:r>
      <w:r>
        <w:rPr>
          <w:rStyle w:val="spellingerror"/>
          <w:rFonts w:ascii="Calibri" w:hAnsi="Calibri" w:cs="Segoe UI"/>
          <w:sz w:val="22"/>
          <w:szCs w:val="22"/>
        </w:rPr>
        <w:tab/>
      </w:r>
      <w:r>
        <w:rPr>
          <w:rStyle w:val="normaltextrun"/>
          <w:rFonts w:ascii="Calibri" w:hAnsi="Calibri" w:cs="Segoe UI"/>
          <w:sz w:val="22"/>
          <w:szCs w:val="22"/>
        </w:rPr>
        <w:t>YS-K</w:t>
      </w:r>
      <w:r w:rsidR="004C1624">
        <w:rPr>
          <w:rStyle w:val="normaltextrun"/>
          <w:rFonts w:ascii="Calibri" w:hAnsi="Calibri" w:cs="Segoe UI"/>
          <w:sz w:val="22"/>
          <w:szCs w:val="22"/>
        </w:rPr>
        <w:tab/>
      </w:r>
      <w:r>
        <w:rPr>
          <w:rStyle w:val="normaltextrun"/>
          <w:rFonts w:ascii="Calibri" w:hAnsi="Calibri" w:cs="Segoe UI"/>
          <w:sz w:val="22"/>
          <w:szCs w:val="22"/>
        </w:rPr>
        <w:tab/>
        <w:t>Akademikerne</w:t>
      </w:r>
      <w:r>
        <w:rPr>
          <w:rStyle w:val="eop"/>
          <w:rFonts w:ascii="Calibri" w:hAnsi="Calibri" w:cs="Segoe UI"/>
          <w:sz w:val="22"/>
          <w:szCs w:val="22"/>
        </w:rPr>
        <w:t> </w:t>
      </w:r>
    </w:p>
    <w:p w14:paraId="7562EDA9"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F445CE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2CAE366F"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26B12AC" w14:textId="77777777"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0B81BDD" w14:textId="77777777" w:rsidR="00D23B93" w:rsidRDefault="00AC2BC9"/>
    <w:sectPr w:rsidR="00D23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62843"/>
    <w:multiLevelType w:val="multilevel"/>
    <w:tmpl w:val="BC5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686EC6"/>
    <w:multiLevelType w:val="multilevel"/>
    <w:tmpl w:val="FDB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5D"/>
    <w:rsid w:val="000D4916"/>
    <w:rsid w:val="00171A82"/>
    <w:rsid w:val="00357E5D"/>
    <w:rsid w:val="004C1624"/>
    <w:rsid w:val="00AC2BC9"/>
    <w:rsid w:val="00BA34D2"/>
    <w:rsid w:val="00E03D51"/>
    <w:rsid w:val="00EB57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7017"/>
  <w15:chartTrackingRefBased/>
  <w15:docId w15:val="{E384C210-31D8-4A9A-9866-2E8E3DE0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EB57A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EB57AC"/>
  </w:style>
  <w:style w:type="character" w:customStyle="1" w:styleId="eop">
    <w:name w:val="eop"/>
    <w:basedOn w:val="Standardskriftforavsnitt"/>
    <w:rsid w:val="00EB57AC"/>
  </w:style>
  <w:style w:type="character" w:customStyle="1" w:styleId="scxw6794219">
    <w:name w:val="scxw6794219"/>
    <w:basedOn w:val="Standardskriftforavsnitt"/>
    <w:rsid w:val="00EB57AC"/>
  </w:style>
  <w:style w:type="character" w:customStyle="1" w:styleId="spellingerror">
    <w:name w:val="spellingerror"/>
    <w:basedOn w:val="Standardskriftforavsnitt"/>
    <w:rsid w:val="00EB5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7917">
      <w:bodyDiv w:val="1"/>
      <w:marLeft w:val="0"/>
      <w:marRight w:val="0"/>
      <w:marTop w:val="0"/>
      <w:marBottom w:val="0"/>
      <w:divBdr>
        <w:top w:val="none" w:sz="0" w:space="0" w:color="auto"/>
        <w:left w:val="none" w:sz="0" w:space="0" w:color="auto"/>
        <w:bottom w:val="none" w:sz="0" w:space="0" w:color="auto"/>
        <w:right w:val="none" w:sz="0" w:space="0" w:color="auto"/>
      </w:divBdr>
      <w:divsChild>
        <w:div w:id="694234267">
          <w:marLeft w:val="0"/>
          <w:marRight w:val="0"/>
          <w:marTop w:val="0"/>
          <w:marBottom w:val="0"/>
          <w:divBdr>
            <w:top w:val="none" w:sz="0" w:space="0" w:color="auto"/>
            <w:left w:val="none" w:sz="0" w:space="0" w:color="auto"/>
            <w:bottom w:val="none" w:sz="0" w:space="0" w:color="auto"/>
            <w:right w:val="none" w:sz="0" w:space="0" w:color="auto"/>
          </w:divBdr>
        </w:div>
        <w:div w:id="1510556428">
          <w:marLeft w:val="0"/>
          <w:marRight w:val="0"/>
          <w:marTop w:val="0"/>
          <w:marBottom w:val="0"/>
          <w:divBdr>
            <w:top w:val="none" w:sz="0" w:space="0" w:color="auto"/>
            <w:left w:val="none" w:sz="0" w:space="0" w:color="auto"/>
            <w:bottom w:val="none" w:sz="0" w:space="0" w:color="auto"/>
            <w:right w:val="none" w:sz="0" w:space="0" w:color="auto"/>
          </w:divBdr>
        </w:div>
        <w:div w:id="892469964">
          <w:marLeft w:val="0"/>
          <w:marRight w:val="0"/>
          <w:marTop w:val="0"/>
          <w:marBottom w:val="0"/>
          <w:divBdr>
            <w:top w:val="none" w:sz="0" w:space="0" w:color="auto"/>
            <w:left w:val="none" w:sz="0" w:space="0" w:color="auto"/>
            <w:bottom w:val="none" w:sz="0" w:space="0" w:color="auto"/>
            <w:right w:val="none" w:sz="0" w:space="0" w:color="auto"/>
          </w:divBdr>
        </w:div>
        <w:div w:id="1109735915">
          <w:marLeft w:val="0"/>
          <w:marRight w:val="0"/>
          <w:marTop w:val="0"/>
          <w:marBottom w:val="0"/>
          <w:divBdr>
            <w:top w:val="none" w:sz="0" w:space="0" w:color="auto"/>
            <w:left w:val="none" w:sz="0" w:space="0" w:color="auto"/>
            <w:bottom w:val="none" w:sz="0" w:space="0" w:color="auto"/>
            <w:right w:val="none" w:sz="0" w:space="0" w:color="auto"/>
          </w:divBdr>
        </w:div>
        <w:div w:id="366150407">
          <w:marLeft w:val="0"/>
          <w:marRight w:val="0"/>
          <w:marTop w:val="0"/>
          <w:marBottom w:val="0"/>
          <w:divBdr>
            <w:top w:val="none" w:sz="0" w:space="0" w:color="auto"/>
            <w:left w:val="none" w:sz="0" w:space="0" w:color="auto"/>
            <w:bottom w:val="none" w:sz="0" w:space="0" w:color="auto"/>
            <w:right w:val="none" w:sz="0" w:space="0" w:color="auto"/>
          </w:divBdr>
        </w:div>
        <w:div w:id="923953720">
          <w:marLeft w:val="0"/>
          <w:marRight w:val="0"/>
          <w:marTop w:val="0"/>
          <w:marBottom w:val="0"/>
          <w:divBdr>
            <w:top w:val="none" w:sz="0" w:space="0" w:color="auto"/>
            <w:left w:val="none" w:sz="0" w:space="0" w:color="auto"/>
            <w:bottom w:val="none" w:sz="0" w:space="0" w:color="auto"/>
            <w:right w:val="none" w:sz="0" w:space="0" w:color="auto"/>
          </w:divBdr>
        </w:div>
        <w:div w:id="2085108875">
          <w:marLeft w:val="0"/>
          <w:marRight w:val="0"/>
          <w:marTop w:val="0"/>
          <w:marBottom w:val="0"/>
          <w:divBdr>
            <w:top w:val="none" w:sz="0" w:space="0" w:color="auto"/>
            <w:left w:val="none" w:sz="0" w:space="0" w:color="auto"/>
            <w:bottom w:val="none" w:sz="0" w:space="0" w:color="auto"/>
            <w:right w:val="none" w:sz="0" w:space="0" w:color="auto"/>
          </w:divBdr>
        </w:div>
        <w:div w:id="1273323093">
          <w:marLeft w:val="0"/>
          <w:marRight w:val="0"/>
          <w:marTop w:val="0"/>
          <w:marBottom w:val="0"/>
          <w:divBdr>
            <w:top w:val="none" w:sz="0" w:space="0" w:color="auto"/>
            <w:left w:val="none" w:sz="0" w:space="0" w:color="auto"/>
            <w:bottom w:val="none" w:sz="0" w:space="0" w:color="auto"/>
            <w:right w:val="none" w:sz="0" w:space="0" w:color="auto"/>
          </w:divBdr>
        </w:div>
        <w:div w:id="302391293">
          <w:marLeft w:val="0"/>
          <w:marRight w:val="0"/>
          <w:marTop w:val="0"/>
          <w:marBottom w:val="0"/>
          <w:divBdr>
            <w:top w:val="none" w:sz="0" w:space="0" w:color="auto"/>
            <w:left w:val="none" w:sz="0" w:space="0" w:color="auto"/>
            <w:bottom w:val="none" w:sz="0" w:space="0" w:color="auto"/>
            <w:right w:val="none" w:sz="0" w:space="0" w:color="auto"/>
          </w:divBdr>
        </w:div>
        <w:div w:id="827013916">
          <w:marLeft w:val="0"/>
          <w:marRight w:val="0"/>
          <w:marTop w:val="0"/>
          <w:marBottom w:val="0"/>
          <w:divBdr>
            <w:top w:val="none" w:sz="0" w:space="0" w:color="auto"/>
            <w:left w:val="none" w:sz="0" w:space="0" w:color="auto"/>
            <w:bottom w:val="none" w:sz="0" w:space="0" w:color="auto"/>
            <w:right w:val="none" w:sz="0" w:space="0" w:color="auto"/>
          </w:divBdr>
        </w:div>
        <w:div w:id="1056928896">
          <w:marLeft w:val="0"/>
          <w:marRight w:val="0"/>
          <w:marTop w:val="0"/>
          <w:marBottom w:val="0"/>
          <w:divBdr>
            <w:top w:val="none" w:sz="0" w:space="0" w:color="auto"/>
            <w:left w:val="none" w:sz="0" w:space="0" w:color="auto"/>
            <w:bottom w:val="none" w:sz="0" w:space="0" w:color="auto"/>
            <w:right w:val="none" w:sz="0" w:space="0" w:color="auto"/>
          </w:divBdr>
          <w:divsChild>
            <w:div w:id="741564920">
              <w:marLeft w:val="0"/>
              <w:marRight w:val="0"/>
              <w:marTop w:val="0"/>
              <w:marBottom w:val="0"/>
              <w:divBdr>
                <w:top w:val="none" w:sz="0" w:space="0" w:color="auto"/>
                <w:left w:val="none" w:sz="0" w:space="0" w:color="auto"/>
                <w:bottom w:val="none" w:sz="0" w:space="0" w:color="auto"/>
                <w:right w:val="none" w:sz="0" w:space="0" w:color="auto"/>
              </w:divBdr>
            </w:div>
            <w:div w:id="466124690">
              <w:marLeft w:val="0"/>
              <w:marRight w:val="0"/>
              <w:marTop w:val="0"/>
              <w:marBottom w:val="0"/>
              <w:divBdr>
                <w:top w:val="none" w:sz="0" w:space="0" w:color="auto"/>
                <w:left w:val="none" w:sz="0" w:space="0" w:color="auto"/>
                <w:bottom w:val="none" w:sz="0" w:space="0" w:color="auto"/>
                <w:right w:val="none" w:sz="0" w:space="0" w:color="auto"/>
              </w:divBdr>
            </w:div>
            <w:div w:id="590436065">
              <w:marLeft w:val="0"/>
              <w:marRight w:val="0"/>
              <w:marTop w:val="0"/>
              <w:marBottom w:val="0"/>
              <w:divBdr>
                <w:top w:val="none" w:sz="0" w:space="0" w:color="auto"/>
                <w:left w:val="none" w:sz="0" w:space="0" w:color="auto"/>
                <w:bottom w:val="none" w:sz="0" w:space="0" w:color="auto"/>
                <w:right w:val="none" w:sz="0" w:space="0" w:color="auto"/>
              </w:divBdr>
            </w:div>
            <w:div w:id="436144934">
              <w:marLeft w:val="0"/>
              <w:marRight w:val="0"/>
              <w:marTop w:val="0"/>
              <w:marBottom w:val="0"/>
              <w:divBdr>
                <w:top w:val="none" w:sz="0" w:space="0" w:color="auto"/>
                <w:left w:val="none" w:sz="0" w:space="0" w:color="auto"/>
                <w:bottom w:val="none" w:sz="0" w:space="0" w:color="auto"/>
                <w:right w:val="none" w:sz="0" w:space="0" w:color="auto"/>
              </w:divBdr>
            </w:div>
          </w:divsChild>
        </w:div>
        <w:div w:id="2142112095">
          <w:marLeft w:val="0"/>
          <w:marRight w:val="0"/>
          <w:marTop w:val="0"/>
          <w:marBottom w:val="0"/>
          <w:divBdr>
            <w:top w:val="none" w:sz="0" w:space="0" w:color="auto"/>
            <w:left w:val="none" w:sz="0" w:space="0" w:color="auto"/>
            <w:bottom w:val="none" w:sz="0" w:space="0" w:color="auto"/>
            <w:right w:val="none" w:sz="0" w:space="0" w:color="auto"/>
          </w:divBdr>
          <w:divsChild>
            <w:div w:id="1128621267">
              <w:marLeft w:val="0"/>
              <w:marRight w:val="0"/>
              <w:marTop w:val="0"/>
              <w:marBottom w:val="0"/>
              <w:divBdr>
                <w:top w:val="none" w:sz="0" w:space="0" w:color="auto"/>
                <w:left w:val="none" w:sz="0" w:space="0" w:color="auto"/>
                <w:bottom w:val="none" w:sz="0" w:space="0" w:color="auto"/>
                <w:right w:val="none" w:sz="0" w:space="0" w:color="auto"/>
              </w:divBdr>
            </w:div>
            <w:div w:id="366880288">
              <w:marLeft w:val="0"/>
              <w:marRight w:val="0"/>
              <w:marTop w:val="0"/>
              <w:marBottom w:val="0"/>
              <w:divBdr>
                <w:top w:val="none" w:sz="0" w:space="0" w:color="auto"/>
                <w:left w:val="none" w:sz="0" w:space="0" w:color="auto"/>
                <w:bottom w:val="none" w:sz="0" w:space="0" w:color="auto"/>
                <w:right w:val="none" w:sz="0" w:space="0" w:color="auto"/>
              </w:divBdr>
            </w:div>
            <w:div w:id="545143288">
              <w:marLeft w:val="0"/>
              <w:marRight w:val="0"/>
              <w:marTop w:val="0"/>
              <w:marBottom w:val="0"/>
              <w:divBdr>
                <w:top w:val="none" w:sz="0" w:space="0" w:color="auto"/>
                <w:left w:val="none" w:sz="0" w:space="0" w:color="auto"/>
                <w:bottom w:val="none" w:sz="0" w:space="0" w:color="auto"/>
                <w:right w:val="none" w:sz="0" w:space="0" w:color="auto"/>
              </w:divBdr>
            </w:div>
          </w:divsChild>
        </w:div>
        <w:div w:id="304237618">
          <w:marLeft w:val="0"/>
          <w:marRight w:val="0"/>
          <w:marTop w:val="0"/>
          <w:marBottom w:val="0"/>
          <w:divBdr>
            <w:top w:val="none" w:sz="0" w:space="0" w:color="auto"/>
            <w:left w:val="none" w:sz="0" w:space="0" w:color="auto"/>
            <w:bottom w:val="none" w:sz="0" w:space="0" w:color="auto"/>
            <w:right w:val="none" w:sz="0" w:space="0" w:color="auto"/>
          </w:divBdr>
        </w:div>
        <w:div w:id="1121074815">
          <w:marLeft w:val="0"/>
          <w:marRight w:val="0"/>
          <w:marTop w:val="0"/>
          <w:marBottom w:val="0"/>
          <w:divBdr>
            <w:top w:val="none" w:sz="0" w:space="0" w:color="auto"/>
            <w:left w:val="none" w:sz="0" w:space="0" w:color="auto"/>
            <w:bottom w:val="none" w:sz="0" w:space="0" w:color="auto"/>
            <w:right w:val="none" w:sz="0" w:space="0" w:color="auto"/>
          </w:divBdr>
        </w:div>
        <w:div w:id="375398093">
          <w:marLeft w:val="0"/>
          <w:marRight w:val="0"/>
          <w:marTop w:val="0"/>
          <w:marBottom w:val="0"/>
          <w:divBdr>
            <w:top w:val="none" w:sz="0" w:space="0" w:color="auto"/>
            <w:left w:val="none" w:sz="0" w:space="0" w:color="auto"/>
            <w:bottom w:val="none" w:sz="0" w:space="0" w:color="auto"/>
            <w:right w:val="none" w:sz="0" w:space="0" w:color="auto"/>
          </w:divBdr>
        </w:div>
        <w:div w:id="924654358">
          <w:marLeft w:val="0"/>
          <w:marRight w:val="0"/>
          <w:marTop w:val="0"/>
          <w:marBottom w:val="0"/>
          <w:divBdr>
            <w:top w:val="none" w:sz="0" w:space="0" w:color="auto"/>
            <w:left w:val="none" w:sz="0" w:space="0" w:color="auto"/>
            <w:bottom w:val="none" w:sz="0" w:space="0" w:color="auto"/>
            <w:right w:val="none" w:sz="0" w:space="0" w:color="auto"/>
          </w:divBdr>
        </w:div>
        <w:div w:id="777876095">
          <w:marLeft w:val="0"/>
          <w:marRight w:val="0"/>
          <w:marTop w:val="0"/>
          <w:marBottom w:val="0"/>
          <w:divBdr>
            <w:top w:val="none" w:sz="0" w:space="0" w:color="auto"/>
            <w:left w:val="none" w:sz="0" w:space="0" w:color="auto"/>
            <w:bottom w:val="none" w:sz="0" w:space="0" w:color="auto"/>
            <w:right w:val="none" w:sz="0" w:space="0" w:color="auto"/>
          </w:divBdr>
        </w:div>
        <w:div w:id="662315176">
          <w:marLeft w:val="0"/>
          <w:marRight w:val="0"/>
          <w:marTop w:val="0"/>
          <w:marBottom w:val="0"/>
          <w:divBdr>
            <w:top w:val="none" w:sz="0" w:space="0" w:color="auto"/>
            <w:left w:val="none" w:sz="0" w:space="0" w:color="auto"/>
            <w:bottom w:val="none" w:sz="0" w:space="0" w:color="auto"/>
            <w:right w:val="none" w:sz="0" w:space="0" w:color="auto"/>
          </w:divBdr>
        </w:div>
        <w:div w:id="1483619428">
          <w:marLeft w:val="0"/>
          <w:marRight w:val="0"/>
          <w:marTop w:val="0"/>
          <w:marBottom w:val="0"/>
          <w:divBdr>
            <w:top w:val="none" w:sz="0" w:space="0" w:color="auto"/>
            <w:left w:val="none" w:sz="0" w:space="0" w:color="auto"/>
            <w:bottom w:val="none" w:sz="0" w:space="0" w:color="auto"/>
            <w:right w:val="none" w:sz="0" w:space="0" w:color="auto"/>
          </w:divBdr>
        </w:div>
        <w:div w:id="1351570764">
          <w:marLeft w:val="0"/>
          <w:marRight w:val="0"/>
          <w:marTop w:val="0"/>
          <w:marBottom w:val="0"/>
          <w:divBdr>
            <w:top w:val="none" w:sz="0" w:space="0" w:color="auto"/>
            <w:left w:val="none" w:sz="0" w:space="0" w:color="auto"/>
            <w:bottom w:val="none" w:sz="0" w:space="0" w:color="auto"/>
            <w:right w:val="none" w:sz="0" w:space="0" w:color="auto"/>
          </w:divBdr>
        </w:div>
        <w:div w:id="1843276040">
          <w:marLeft w:val="0"/>
          <w:marRight w:val="0"/>
          <w:marTop w:val="0"/>
          <w:marBottom w:val="0"/>
          <w:divBdr>
            <w:top w:val="none" w:sz="0" w:space="0" w:color="auto"/>
            <w:left w:val="none" w:sz="0" w:space="0" w:color="auto"/>
            <w:bottom w:val="none" w:sz="0" w:space="0" w:color="auto"/>
            <w:right w:val="none" w:sz="0" w:space="0" w:color="auto"/>
          </w:divBdr>
        </w:div>
        <w:div w:id="448472256">
          <w:marLeft w:val="0"/>
          <w:marRight w:val="0"/>
          <w:marTop w:val="0"/>
          <w:marBottom w:val="0"/>
          <w:divBdr>
            <w:top w:val="none" w:sz="0" w:space="0" w:color="auto"/>
            <w:left w:val="none" w:sz="0" w:space="0" w:color="auto"/>
            <w:bottom w:val="none" w:sz="0" w:space="0" w:color="auto"/>
            <w:right w:val="none" w:sz="0" w:space="0" w:color="auto"/>
          </w:divBdr>
        </w:div>
        <w:div w:id="1596939827">
          <w:marLeft w:val="0"/>
          <w:marRight w:val="0"/>
          <w:marTop w:val="0"/>
          <w:marBottom w:val="0"/>
          <w:divBdr>
            <w:top w:val="none" w:sz="0" w:space="0" w:color="auto"/>
            <w:left w:val="none" w:sz="0" w:space="0" w:color="auto"/>
            <w:bottom w:val="none" w:sz="0" w:space="0" w:color="auto"/>
            <w:right w:val="none" w:sz="0" w:space="0" w:color="auto"/>
          </w:divBdr>
        </w:div>
        <w:div w:id="2111511180">
          <w:marLeft w:val="0"/>
          <w:marRight w:val="0"/>
          <w:marTop w:val="0"/>
          <w:marBottom w:val="0"/>
          <w:divBdr>
            <w:top w:val="none" w:sz="0" w:space="0" w:color="auto"/>
            <w:left w:val="none" w:sz="0" w:space="0" w:color="auto"/>
            <w:bottom w:val="none" w:sz="0" w:space="0" w:color="auto"/>
            <w:right w:val="none" w:sz="0" w:space="0" w:color="auto"/>
          </w:divBdr>
        </w:div>
        <w:div w:id="100804448">
          <w:marLeft w:val="0"/>
          <w:marRight w:val="0"/>
          <w:marTop w:val="0"/>
          <w:marBottom w:val="0"/>
          <w:divBdr>
            <w:top w:val="none" w:sz="0" w:space="0" w:color="auto"/>
            <w:left w:val="none" w:sz="0" w:space="0" w:color="auto"/>
            <w:bottom w:val="none" w:sz="0" w:space="0" w:color="auto"/>
            <w:right w:val="none" w:sz="0" w:space="0" w:color="auto"/>
          </w:divBdr>
        </w:div>
        <w:div w:id="288170279">
          <w:marLeft w:val="0"/>
          <w:marRight w:val="0"/>
          <w:marTop w:val="0"/>
          <w:marBottom w:val="0"/>
          <w:divBdr>
            <w:top w:val="none" w:sz="0" w:space="0" w:color="auto"/>
            <w:left w:val="none" w:sz="0" w:space="0" w:color="auto"/>
            <w:bottom w:val="none" w:sz="0" w:space="0" w:color="auto"/>
            <w:right w:val="none" w:sz="0" w:space="0" w:color="auto"/>
          </w:divBdr>
        </w:div>
        <w:div w:id="2018265050">
          <w:marLeft w:val="0"/>
          <w:marRight w:val="0"/>
          <w:marTop w:val="0"/>
          <w:marBottom w:val="0"/>
          <w:divBdr>
            <w:top w:val="none" w:sz="0" w:space="0" w:color="auto"/>
            <w:left w:val="none" w:sz="0" w:space="0" w:color="auto"/>
            <w:bottom w:val="none" w:sz="0" w:space="0" w:color="auto"/>
            <w:right w:val="none" w:sz="0" w:space="0" w:color="auto"/>
          </w:divBdr>
        </w:div>
        <w:div w:id="637757793">
          <w:marLeft w:val="0"/>
          <w:marRight w:val="0"/>
          <w:marTop w:val="0"/>
          <w:marBottom w:val="0"/>
          <w:divBdr>
            <w:top w:val="none" w:sz="0" w:space="0" w:color="auto"/>
            <w:left w:val="none" w:sz="0" w:space="0" w:color="auto"/>
            <w:bottom w:val="none" w:sz="0" w:space="0" w:color="auto"/>
            <w:right w:val="none" w:sz="0" w:space="0" w:color="auto"/>
          </w:divBdr>
        </w:div>
        <w:div w:id="1632445827">
          <w:marLeft w:val="0"/>
          <w:marRight w:val="0"/>
          <w:marTop w:val="0"/>
          <w:marBottom w:val="0"/>
          <w:divBdr>
            <w:top w:val="none" w:sz="0" w:space="0" w:color="auto"/>
            <w:left w:val="none" w:sz="0" w:space="0" w:color="auto"/>
            <w:bottom w:val="none" w:sz="0" w:space="0" w:color="auto"/>
            <w:right w:val="none" w:sz="0" w:space="0" w:color="auto"/>
          </w:divBdr>
        </w:div>
        <w:div w:id="529759348">
          <w:marLeft w:val="0"/>
          <w:marRight w:val="0"/>
          <w:marTop w:val="0"/>
          <w:marBottom w:val="0"/>
          <w:divBdr>
            <w:top w:val="none" w:sz="0" w:space="0" w:color="auto"/>
            <w:left w:val="none" w:sz="0" w:space="0" w:color="auto"/>
            <w:bottom w:val="none" w:sz="0" w:space="0" w:color="auto"/>
            <w:right w:val="none" w:sz="0" w:space="0" w:color="auto"/>
          </w:divBdr>
        </w:div>
        <w:div w:id="403376319">
          <w:marLeft w:val="0"/>
          <w:marRight w:val="0"/>
          <w:marTop w:val="0"/>
          <w:marBottom w:val="0"/>
          <w:divBdr>
            <w:top w:val="none" w:sz="0" w:space="0" w:color="auto"/>
            <w:left w:val="none" w:sz="0" w:space="0" w:color="auto"/>
            <w:bottom w:val="none" w:sz="0" w:space="0" w:color="auto"/>
            <w:right w:val="none" w:sz="0" w:space="0" w:color="auto"/>
          </w:divBdr>
        </w:div>
        <w:div w:id="527988047">
          <w:marLeft w:val="0"/>
          <w:marRight w:val="0"/>
          <w:marTop w:val="0"/>
          <w:marBottom w:val="0"/>
          <w:divBdr>
            <w:top w:val="none" w:sz="0" w:space="0" w:color="auto"/>
            <w:left w:val="none" w:sz="0" w:space="0" w:color="auto"/>
            <w:bottom w:val="none" w:sz="0" w:space="0" w:color="auto"/>
            <w:right w:val="none" w:sz="0" w:space="0" w:color="auto"/>
          </w:divBdr>
        </w:div>
        <w:div w:id="99228134">
          <w:marLeft w:val="0"/>
          <w:marRight w:val="0"/>
          <w:marTop w:val="0"/>
          <w:marBottom w:val="0"/>
          <w:divBdr>
            <w:top w:val="none" w:sz="0" w:space="0" w:color="auto"/>
            <w:left w:val="none" w:sz="0" w:space="0" w:color="auto"/>
            <w:bottom w:val="none" w:sz="0" w:space="0" w:color="auto"/>
            <w:right w:val="none" w:sz="0" w:space="0" w:color="auto"/>
          </w:divBdr>
        </w:div>
        <w:div w:id="476461582">
          <w:marLeft w:val="0"/>
          <w:marRight w:val="0"/>
          <w:marTop w:val="0"/>
          <w:marBottom w:val="0"/>
          <w:divBdr>
            <w:top w:val="none" w:sz="0" w:space="0" w:color="auto"/>
            <w:left w:val="none" w:sz="0" w:space="0" w:color="auto"/>
            <w:bottom w:val="none" w:sz="0" w:space="0" w:color="auto"/>
            <w:right w:val="none" w:sz="0" w:space="0" w:color="auto"/>
          </w:divBdr>
        </w:div>
        <w:div w:id="1325359423">
          <w:marLeft w:val="0"/>
          <w:marRight w:val="0"/>
          <w:marTop w:val="0"/>
          <w:marBottom w:val="0"/>
          <w:divBdr>
            <w:top w:val="none" w:sz="0" w:space="0" w:color="auto"/>
            <w:left w:val="none" w:sz="0" w:space="0" w:color="auto"/>
            <w:bottom w:val="none" w:sz="0" w:space="0" w:color="auto"/>
            <w:right w:val="none" w:sz="0" w:space="0" w:color="auto"/>
          </w:divBdr>
        </w:div>
        <w:div w:id="1121263847">
          <w:marLeft w:val="0"/>
          <w:marRight w:val="0"/>
          <w:marTop w:val="0"/>
          <w:marBottom w:val="0"/>
          <w:divBdr>
            <w:top w:val="none" w:sz="0" w:space="0" w:color="auto"/>
            <w:left w:val="none" w:sz="0" w:space="0" w:color="auto"/>
            <w:bottom w:val="none" w:sz="0" w:space="0" w:color="auto"/>
            <w:right w:val="none" w:sz="0" w:space="0" w:color="auto"/>
          </w:divBdr>
        </w:div>
        <w:div w:id="1497459965">
          <w:marLeft w:val="0"/>
          <w:marRight w:val="0"/>
          <w:marTop w:val="0"/>
          <w:marBottom w:val="0"/>
          <w:divBdr>
            <w:top w:val="none" w:sz="0" w:space="0" w:color="auto"/>
            <w:left w:val="none" w:sz="0" w:space="0" w:color="auto"/>
            <w:bottom w:val="none" w:sz="0" w:space="0" w:color="auto"/>
            <w:right w:val="none" w:sz="0" w:space="0" w:color="auto"/>
          </w:divBdr>
        </w:div>
        <w:div w:id="1502430935">
          <w:marLeft w:val="0"/>
          <w:marRight w:val="0"/>
          <w:marTop w:val="0"/>
          <w:marBottom w:val="0"/>
          <w:divBdr>
            <w:top w:val="none" w:sz="0" w:space="0" w:color="auto"/>
            <w:left w:val="none" w:sz="0" w:space="0" w:color="auto"/>
            <w:bottom w:val="none" w:sz="0" w:space="0" w:color="auto"/>
            <w:right w:val="none" w:sz="0" w:space="0" w:color="auto"/>
          </w:divBdr>
        </w:div>
        <w:div w:id="892276855">
          <w:marLeft w:val="0"/>
          <w:marRight w:val="0"/>
          <w:marTop w:val="0"/>
          <w:marBottom w:val="0"/>
          <w:divBdr>
            <w:top w:val="none" w:sz="0" w:space="0" w:color="auto"/>
            <w:left w:val="none" w:sz="0" w:space="0" w:color="auto"/>
            <w:bottom w:val="none" w:sz="0" w:space="0" w:color="auto"/>
            <w:right w:val="none" w:sz="0" w:space="0" w:color="auto"/>
          </w:divBdr>
        </w:div>
        <w:div w:id="1112935898">
          <w:marLeft w:val="0"/>
          <w:marRight w:val="0"/>
          <w:marTop w:val="0"/>
          <w:marBottom w:val="0"/>
          <w:divBdr>
            <w:top w:val="none" w:sz="0" w:space="0" w:color="auto"/>
            <w:left w:val="none" w:sz="0" w:space="0" w:color="auto"/>
            <w:bottom w:val="none" w:sz="0" w:space="0" w:color="auto"/>
            <w:right w:val="none" w:sz="0" w:space="0" w:color="auto"/>
          </w:divBdr>
        </w:div>
        <w:div w:id="1905947633">
          <w:marLeft w:val="0"/>
          <w:marRight w:val="0"/>
          <w:marTop w:val="0"/>
          <w:marBottom w:val="0"/>
          <w:divBdr>
            <w:top w:val="none" w:sz="0" w:space="0" w:color="auto"/>
            <w:left w:val="none" w:sz="0" w:space="0" w:color="auto"/>
            <w:bottom w:val="none" w:sz="0" w:space="0" w:color="auto"/>
            <w:right w:val="none" w:sz="0" w:space="0" w:color="auto"/>
          </w:divBdr>
        </w:div>
        <w:div w:id="393893062">
          <w:marLeft w:val="0"/>
          <w:marRight w:val="0"/>
          <w:marTop w:val="0"/>
          <w:marBottom w:val="0"/>
          <w:divBdr>
            <w:top w:val="none" w:sz="0" w:space="0" w:color="auto"/>
            <w:left w:val="none" w:sz="0" w:space="0" w:color="auto"/>
            <w:bottom w:val="none" w:sz="0" w:space="0" w:color="auto"/>
            <w:right w:val="none" w:sz="0" w:space="0" w:color="auto"/>
          </w:divBdr>
        </w:div>
        <w:div w:id="1625959033">
          <w:marLeft w:val="0"/>
          <w:marRight w:val="0"/>
          <w:marTop w:val="0"/>
          <w:marBottom w:val="0"/>
          <w:divBdr>
            <w:top w:val="none" w:sz="0" w:space="0" w:color="auto"/>
            <w:left w:val="none" w:sz="0" w:space="0" w:color="auto"/>
            <w:bottom w:val="none" w:sz="0" w:space="0" w:color="auto"/>
            <w:right w:val="none" w:sz="0" w:space="0" w:color="auto"/>
          </w:divBdr>
        </w:div>
        <w:div w:id="83647481">
          <w:marLeft w:val="0"/>
          <w:marRight w:val="0"/>
          <w:marTop w:val="0"/>
          <w:marBottom w:val="0"/>
          <w:divBdr>
            <w:top w:val="none" w:sz="0" w:space="0" w:color="auto"/>
            <w:left w:val="none" w:sz="0" w:space="0" w:color="auto"/>
            <w:bottom w:val="none" w:sz="0" w:space="0" w:color="auto"/>
            <w:right w:val="none" w:sz="0" w:space="0" w:color="auto"/>
          </w:divBdr>
        </w:div>
        <w:div w:id="257446555">
          <w:marLeft w:val="0"/>
          <w:marRight w:val="0"/>
          <w:marTop w:val="0"/>
          <w:marBottom w:val="0"/>
          <w:divBdr>
            <w:top w:val="none" w:sz="0" w:space="0" w:color="auto"/>
            <w:left w:val="none" w:sz="0" w:space="0" w:color="auto"/>
            <w:bottom w:val="none" w:sz="0" w:space="0" w:color="auto"/>
            <w:right w:val="none" w:sz="0" w:space="0" w:color="auto"/>
          </w:divBdr>
        </w:div>
        <w:div w:id="592201358">
          <w:marLeft w:val="0"/>
          <w:marRight w:val="0"/>
          <w:marTop w:val="0"/>
          <w:marBottom w:val="0"/>
          <w:divBdr>
            <w:top w:val="none" w:sz="0" w:space="0" w:color="auto"/>
            <w:left w:val="none" w:sz="0" w:space="0" w:color="auto"/>
            <w:bottom w:val="none" w:sz="0" w:space="0" w:color="auto"/>
            <w:right w:val="none" w:sz="0" w:space="0" w:color="auto"/>
          </w:divBdr>
        </w:div>
        <w:div w:id="1143351045">
          <w:marLeft w:val="0"/>
          <w:marRight w:val="0"/>
          <w:marTop w:val="0"/>
          <w:marBottom w:val="0"/>
          <w:divBdr>
            <w:top w:val="none" w:sz="0" w:space="0" w:color="auto"/>
            <w:left w:val="none" w:sz="0" w:space="0" w:color="auto"/>
            <w:bottom w:val="none" w:sz="0" w:space="0" w:color="auto"/>
            <w:right w:val="none" w:sz="0" w:space="0" w:color="auto"/>
          </w:divBdr>
        </w:div>
        <w:div w:id="277223684">
          <w:marLeft w:val="0"/>
          <w:marRight w:val="0"/>
          <w:marTop w:val="0"/>
          <w:marBottom w:val="0"/>
          <w:divBdr>
            <w:top w:val="none" w:sz="0" w:space="0" w:color="auto"/>
            <w:left w:val="none" w:sz="0" w:space="0" w:color="auto"/>
            <w:bottom w:val="none" w:sz="0" w:space="0" w:color="auto"/>
            <w:right w:val="none" w:sz="0" w:space="0" w:color="auto"/>
          </w:divBdr>
        </w:div>
        <w:div w:id="1287857055">
          <w:marLeft w:val="0"/>
          <w:marRight w:val="0"/>
          <w:marTop w:val="0"/>
          <w:marBottom w:val="0"/>
          <w:divBdr>
            <w:top w:val="none" w:sz="0" w:space="0" w:color="auto"/>
            <w:left w:val="none" w:sz="0" w:space="0" w:color="auto"/>
            <w:bottom w:val="none" w:sz="0" w:space="0" w:color="auto"/>
            <w:right w:val="none" w:sz="0" w:space="0" w:color="auto"/>
          </w:divBdr>
        </w:div>
        <w:div w:id="428699721">
          <w:marLeft w:val="0"/>
          <w:marRight w:val="0"/>
          <w:marTop w:val="0"/>
          <w:marBottom w:val="0"/>
          <w:divBdr>
            <w:top w:val="none" w:sz="0" w:space="0" w:color="auto"/>
            <w:left w:val="none" w:sz="0" w:space="0" w:color="auto"/>
            <w:bottom w:val="none" w:sz="0" w:space="0" w:color="auto"/>
            <w:right w:val="none" w:sz="0" w:space="0" w:color="auto"/>
          </w:divBdr>
        </w:div>
        <w:div w:id="1476800297">
          <w:marLeft w:val="0"/>
          <w:marRight w:val="0"/>
          <w:marTop w:val="0"/>
          <w:marBottom w:val="0"/>
          <w:divBdr>
            <w:top w:val="none" w:sz="0" w:space="0" w:color="auto"/>
            <w:left w:val="none" w:sz="0" w:space="0" w:color="auto"/>
            <w:bottom w:val="none" w:sz="0" w:space="0" w:color="auto"/>
            <w:right w:val="none" w:sz="0" w:space="0" w:color="auto"/>
          </w:divBdr>
        </w:div>
        <w:div w:id="1012953523">
          <w:marLeft w:val="0"/>
          <w:marRight w:val="0"/>
          <w:marTop w:val="0"/>
          <w:marBottom w:val="0"/>
          <w:divBdr>
            <w:top w:val="none" w:sz="0" w:space="0" w:color="auto"/>
            <w:left w:val="none" w:sz="0" w:space="0" w:color="auto"/>
            <w:bottom w:val="none" w:sz="0" w:space="0" w:color="auto"/>
            <w:right w:val="none" w:sz="0" w:space="0" w:color="auto"/>
          </w:divBdr>
        </w:div>
        <w:div w:id="39963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CC863AD6D4D48B6F78369EF3EBCBE" ma:contentTypeVersion="0" ma:contentTypeDescription="Create a new document." ma:contentTypeScope="" ma:versionID="5833b07849ecd26416a3ef693fbe32cc">
  <xsd:schema xmlns:xsd="http://www.w3.org/2001/XMLSchema" xmlns:xs="http://www.w3.org/2001/XMLSchema" xmlns:p="http://schemas.microsoft.com/office/2006/metadata/properties" targetNamespace="http://schemas.microsoft.com/office/2006/metadata/properties" ma:root="true" ma:fieldsID="f1ecab7a81bcbadc0f08bc695efabc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CE8E2-0A22-4185-9287-5716D66BD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357DF8-690E-45AB-8C0C-BE40B63A93A6}">
  <ds:schemaRefs>
    <ds:schemaRef ds:uri="http://schemas.microsoft.com/sharepoint/v3/contenttype/forms"/>
  </ds:schemaRefs>
</ds:datastoreItem>
</file>

<file path=customXml/itemProps3.xml><?xml version="1.0" encoding="utf-8"?>
<ds:datastoreItem xmlns:ds="http://schemas.openxmlformats.org/officeDocument/2006/customXml" ds:itemID="{60AA8BF9-EBA6-4F9D-A2B8-91FDBFA1D8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BE98EFCC</Template>
  <TotalTime>1</TotalTime>
  <Pages>3</Pages>
  <Words>1426</Words>
  <Characters>7558</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Nordgaard</dc:creator>
  <cp:keywords/>
  <dc:description/>
  <cp:lastModifiedBy>Lynette Frøyhov</cp:lastModifiedBy>
  <cp:revision>2</cp:revision>
  <dcterms:created xsi:type="dcterms:W3CDTF">2020-05-04T11:02:00Z</dcterms:created>
  <dcterms:modified xsi:type="dcterms:W3CDTF">2020-05-04T11:02:00Z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0x010100AF2CC863AD6D4D48B6F78369EF3EBCBE</vt:lpwstr>
  </property>
</Properties>
</file>